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277495</wp:posOffset>
            </wp:positionH>
            <wp:positionV relativeFrom="page">
              <wp:posOffset>243205</wp:posOffset>
            </wp:positionV>
            <wp:extent cx="70065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34290"/>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51"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86" w:lineRule="exact"/>
        <w:rPr>
          <w:sz w:val="24"/>
          <w:szCs w:val="24"/>
          <w:color w:val="auto"/>
        </w:rPr>
      </w:pPr>
    </w:p>
    <w:p>
      <w:pPr>
        <w:ind w:left="1120" w:right="2380" w:hanging="639"/>
        <w:spacing w:after="0" w:line="343" w:lineRule="auto"/>
        <w:tabs>
          <w:tab w:leader="none" w:pos="11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ind w:left="56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120" w:hanging="606"/>
        <w:spacing w:after="0"/>
        <w:tabs>
          <w:tab w:leader="none" w:pos="11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3" w:lineRule="exact"/>
        <w:rPr>
          <w:sz w:val="24"/>
          <w:szCs w:val="24"/>
          <w:color w:val="auto"/>
        </w:rPr>
      </w:pPr>
    </w:p>
    <w:p>
      <w:pPr>
        <w:ind w:left="1120"/>
        <w:spacing w:after="0"/>
        <w:tabs>
          <w:tab w:leader="none" w:pos="34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12065</wp:posOffset>
            </wp:positionV>
            <wp:extent cx="1355090"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509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OPTION CARE HEALTH,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420"/>
          </w:cols>
          <w:pgMar w:left="240" w:top="535" w:right="239" w:bottom="1440" w:gutter="0" w:footer="0" w:header="0"/>
        </w:sectPr>
      </w:pPr>
    </w:p>
    <w:p>
      <w:pPr>
        <w:spacing w:after="0" w:line="149" w:lineRule="exact"/>
        <w:rPr>
          <w:sz w:val="24"/>
          <w:szCs w:val="24"/>
          <w:color w:val="auto"/>
        </w:rPr>
      </w:pPr>
    </w:p>
    <w:p>
      <w:pPr>
        <w:ind w:left="24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05-0489664</w:t>
      </w:r>
    </w:p>
    <w:p>
      <w:pPr>
        <w:spacing w:after="0" w:line="99" w:lineRule="exact"/>
        <w:rPr>
          <w:sz w:val="24"/>
          <w:szCs w:val="24"/>
          <w:color w:val="auto"/>
        </w:rPr>
      </w:pPr>
    </w:p>
    <w:p>
      <w:pPr>
        <w:sectPr>
          <w:pgSz w:w="11900" w:h="16838" w:orient="portrait"/>
          <w:cols w:equalWidth="0" w:num="2">
            <w:col w:w="7180" w:space="720"/>
            <w:col w:w="3520"/>
          </w:cols>
          <w:pgMar w:left="240" w:top="535" w:right="239" w:bottom="1440" w:gutter="0" w:footer="0" w:header="0"/>
          <w:type w:val="continuous"/>
        </w:sectPr>
      </w:pPr>
    </w:p>
    <w:p>
      <w:pPr>
        <w:ind w:left="2000"/>
        <w:spacing w:after="0"/>
        <w:rPr>
          <w:sz w:val="20"/>
          <w:szCs w:val="20"/>
          <w:color w:val="auto"/>
        </w:rPr>
      </w:pPr>
      <w:r>
        <w:rPr>
          <w:rFonts w:ascii="Arial" w:cs="Arial" w:eastAsia="Arial" w:hAnsi="Arial"/>
          <w:sz w:val="15"/>
          <w:szCs w:val="15"/>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(I.R.S. Employer Identification No.)</w:t>
      </w:r>
    </w:p>
    <w:p>
      <w:pPr>
        <w:spacing w:after="0" w:line="80" w:lineRule="exact"/>
        <w:rPr>
          <w:sz w:val="24"/>
          <w:szCs w:val="24"/>
          <w:color w:val="auto"/>
        </w:rPr>
      </w:pPr>
    </w:p>
    <w:p>
      <w:pPr>
        <w:sectPr>
          <w:pgSz w:w="11900" w:h="16838" w:orient="portrait"/>
          <w:cols w:equalWidth="0" w:num="2">
            <w:col w:w="6400" w:space="720"/>
            <w:col w:w="4300"/>
          </w:cols>
          <w:pgMar w:left="240" w:top="535" w:right="2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3000 Lakeside Dr. Suite 300N, Bannockburn, 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60015</w:t>
      </w:r>
    </w:p>
    <w:p>
      <w:pPr>
        <w:spacing w:after="0" w:line="100" w:lineRule="exact"/>
        <w:rPr>
          <w:sz w:val="24"/>
          <w:szCs w:val="24"/>
          <w:color w:val="auto"/>
        </w:rPr>
      </w:pPr>
    </w:p>
    <w:p>
      <w:pPr>
        <w:sectPr>
          <w:pgSz w:w="11900" w:h="16838" w:orient="portrait"/>
          <w:cols w:equalWidth="0" w:num="2">
            <w:col w:w="7360" w:space="720"/>
            <w:col w:w="3340"/>
          </w:cols>
          <w:pgMar w:left="240" w:top="535" w:right="239" w:bottom="1440" w:gutter="0" w:footer="0" w:header="0"/>
          <w:type w:val="continuous"/>
        </w:sectPr>
      </w:pPr>
    </w:p>
    <w:p>
      <w:pPr>
        <w:ind w:left="150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ectPr>
          <w:pgSz w:w="11900" w:h="16838" w:orient="portrait"/>
          <w:cols w:equalWidth="0" w:num="2">
            <w:col w:w="7220" w:space="720"/>
            <w:col w:w="3480"/>
          </w:cols>
          <w:pgMar w:left="240" w:top="535" w:right="239" w:bottom="1440" w:gutter="0" w:footer="0" w:header="0"/>
          <w:type w:val="continuous"/>
        </w:sectPr>
      </w:pPr>
    </w:p>
    <w:p>
      <w:pPr>
        <w:spacing w:after="0" w:line="54" w:lineRule="exact"/>
        <w:rPr>
          <w:sz w:val="24"/>
          <w:szCs w:val="24"/>
          <w:color w:val="auto"/>
        </w:rPr>
      </w:pPr>
    </w:p>
    <w:p>
      <w:pPr>
        <w:ind w:left="3920"/>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35" w:lineRule="exact"/>
        <w:rPr>
          <w:sz w:val="24"/>
          <w:szCs w:val="24"/>
          <w:color w:val="auto"/>
        </w:rPr>
      </w:pPr>
    </w:p>
    <w:p>
      <w:pPr>
        <w:ind w:left="5260"/>
        <w:spacing w:after="0"/>
        <w:rPr>
          <w:sz w:val="20"/>
          <w:szCs w:val="20"/>
          <w:color w:val="auto"/>
        </w:rPr>
      </w:pPr>
      <w:r>
        <w:rPr>
          <w:rFonts w:ascii="Arial" w:cs="Arial" w:eastAsia="Arial" w:hAnsi="Arial"/>
          <w:sz w:val="16"/>
          <w:szCs w:val="16"/>
          <w:b w:val="1"/>
          <w:bCs w:val="1"/>
          <w:color w:val="auto"/>
        </w:rPr>
        <w:t>312-940-2443</w:t>
      </w:r>
    </w:p>
    <w:p>
      <w:pPr>
        <w:spacing w:after="0" w:line="5"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20"/>
          </w:cols>
          <w:pgMar w:left="240" w:top="535" w:right="239" w:bottom="1440" w:gutter="0" w:footer="0" w:header="0"/>
          <w:type w:val="continuous"/>
        </w:sectPr>
      </w:pPr>
    </w:p>
    <w:p>
      <w:pPr>
        <w:spacing w:after="0" w:line="172"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4500" w:space="720"/>
            <w:col w:w="2100" w:space="720"/>
            <w:col w:w="3380"/>
          </w:cols>
          <w:pgMar w:left="240" w:top="535" w:right="2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OPCH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86" w:lineRule="exact"/>
        <w:rPr>
          <w:sz w:val="24"/>
          <w:szCs w:val="24"/>
          <w:color w:val="auto"/>
        </w:rPr>
      </w:pPr>
    </w:p>
    <w:p>
      <w:pPr>
        <w:sectPr>
          <w:pgSz w:w="11900" w:h="16838" w:orient="portrait"/>
          <w:cols w:equalWidth="0" w:num="3">
            <w:col w:w="4840" w:space="720"/>
            <w:col w:w="2300" w:space="720"/>
            <w:col w:w="2840"/>
          </w:cols>
          <w:pgMar w:left="240" w:top="535"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ectPr>
          <w:pgSz w:w="11900" w:h="16838" w:orient="portrait"/>
          <w:cols w:equalWidth="0" w:num="1">
            <w:col w:w="11420"/>
          </w:cols>
          <w:pgMar w:left="240" w:top="535" w:right="239" w:bottom="144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49" w:lineRule="exact"/>
        <w:rPr>
          <w:sz w:val="24"/>
          <w:szCs w:val="24"/>
          <w:color w:val="auto"/>
        </w:rPr>
      </w:pPr>
    </w:p>
    <w:p>
      <w:pPr>
        <w:sectPr>
          <w:pgSz w:w="11900" w:h="16838" w:orient="portrait"/>
          <w:cols w:equalWidth="0" w:num="2">
            <w:col w:w="8040" w:space="220"/>
            <w:col w:w="3160"/>
          </w:cols>
          <w:pgMar w:left="240" w:top="535"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79" w:lineRule="exact"/>
        <w:rPr>
          <w:sz w:val="24"/>
          <w:szCs w:val="24"/>
          <w:color w:val="auto"/>
        </w:rPr>
      </w:pPr>
    </w:p>
    <w:p>
      <w:pPr>
        <w:sectPr>
          <w:pgSz w:w="11900" w:h="16838" w:orient="portrait"/>
          <w:cols w:equalWidth="0" w:num="2">
            <w:col w:w="8200" w:space="200"/>
            <w:col w:w="3020"/>
          </w:cols>
          <w:pgMar w:left="240" w:top="535"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124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 o</w:t>
      </w:r>
    </w:p>
    <w:p>
      <w:pPr>
        <w:spacing w:after="0" w:line="113"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p>
    <w:p>
      <w:pPr>
        <w:spacing w:after="0" w:line="87" w:lineRule="exact"/>
        <w:rPr>
          <w:sz w:val="24"/>
          <w:szCs w:val="24"/>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a smaller reporting company, or an emerging growth company. See definition of “large accelerated filer”, “accelerated filer”, “smaller reporting company” and “emerging growth company” in Rule 12b-2 of the Exchange Act.</w:t>
      </w:r>
    </w:p>
    <w:p>
      <w:pPr>
        <w:spacing w:after="0" w:line="69" w:lineRule="exact"/>
        <w:rPr>
          <w:sz w:val="24"/>
          <w:szCs w:val="24"/>
          <w:color w:val="auto"/>
        </w:rPr>
      </w:pPr>
    </w:p>
    <w:p>
      <w:pPr>
        <w:ind w:left="1400"/>
        <w:spacing w:after="0" w:line="184" w:lineRule="exact"/>
        <w:tabs>
          <w:tab w:leader="none" w:pos="3140" w:val="left"/>
          <w:tab w:leader="none" w:pos="4620" w:val="left"/>
          <w:tab w:leader="none" w:pos="6360" w:val="left"/>
        </w:tabs>
        <w:rPr>
          <w:sz w:val="20"/>
          <w:szCs w:val="20"/>
          <w:color w:val="auto"/>
        </w:rPr>
      </w:pPr>
      <w:r>
        <w:rPr>
          <w:rFonts w:ascii="Arial" w:cs="Arial" w:eastAsia="Arial" w:hAnsi="Arial"/>
          <w:sz w:val="16"/>
          <w:szCs w:val="16"/>
          <w:color w:val="auto"/>
        </w:rPr>
        <w:t>Large accelerated filer o</w:t>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Non-accelerated filer o</w:t>
      </w:r>
      <w:r>
        <w:rPr>
          <w:sz w:val="20"/>
          <w:szCs w:val="20"/>
          <w:color w:val="auto"/>
        </w:rPr>
        <w:tab/>
      </w:r>
      <w:r>
        <w:rPr>
          <w:rFonts w:ascii="Arial" w:cs="Arial" w:eastAsia="Arial" w:hAnsi="Arial"/>
          <w:sz w:val="14"/>
          <w:szCs w:val="14"/>
          <w:color w:val="auto"/>
        </w:rPr>
        <w:t>Smaller reporting company o Emerging growth company o</w:t>
      </w:r>
    </w:p>
    <w:p>
      <w:pPr>
        <w:spacing w:after="0" w:line="157"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73" w:lineRule="exact"/>
        <w:tabs>
          <w:tab w:leader="none" w:pos="79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68"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June 30, 2019, the last business day of the registrant’s most recently completed second fiscal quarter, was approximately $337,013,747 based on the closing price of the registrant’s Common Stock on the Nasdaq Global Select Market on such date.</w:t>
      </w: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As of March 3, 2020, there were 176,703,983 shares of the registrant’s Common Stock outstanding.</w:t>
      </w:r>
    </w:p>
    <w:p>
      <w:pPr>
        <w:spacing w:after="0" w:line="12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Portions of the registrant’s definitive proxy statement for its 2020 Annual Meeting of Stockholders to be filed with the Securities and Exchange Commission (the “SEC”) within 120 days after the close of the registrant’s fiscal year are incorporated by reference into Part III of this Annual Report on Form 10-K.</w:t>
      </w:r>
    </w:p>
    <w:p>
      <w:pPr>
        <w:sectPr>
          <w:pgSz w:w="11900" w:h="16838" w:orient="portrait"/>
          <w:cols w:equalWidth="0" w:num="1">
            <w:col w:w="11420"/>
          </w:cols>
          <w:pgMar w:left="240" w:top="53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80" w:type="dxa"/>
            <w:vAlign w:val="bottom"/>
            <w:gridSpan w:val="8"/>
          </w:tcPr>
          <w:p>
            <w:pPr>
              <w:jc w:val="center"/>
              <w:ind w:right="2780"/>
              <w:spacing w:after="0"/>
              <w:rPr>
                <w:sz w:val="20"/>
                <w:szCs w:val="20"/>
                <w:color w:val="auto"/>
              </w:rPr>
            </w:pPr>
            <w:r>
              <w:rPr>
                <w:rFonts w:ascii="Arial" w:cs="Arial" w:eastAsia="Arial" w:hAnsi="Arial"/>
                <w:sz w:val="18"/>
                <w:szCs w:val="18"/>
                <w:b w:val="1"/>
                <w:bCs w:val="1"/>
                <w:color w:val="auto"/>
                <w:w w:val="98"/>
              </w:rPr>
              <w:t>TABLE OF CONTENTS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675"/>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gridSpan w:val="3"/>
          </w:tcPr>
          <w:p>
            <w:pPr>
              <w:jc w:val="center"/>
              <w:ind w:left="839"/>
              <w:spacing w:after="0"/>
              <w:rPr>
                <w:sz w:val="20"/>
                <w:szCs w:val="20"/>
                <w:color w:val="auto"/>
              </w:rPr>
            </w:pPr>
            <w:r>
              <w:rPr>
                <w:rFonts w:ascii="Arial" w:cs="Arial" w:eastAsia="Arial" w:hAnsi="Arial"/>
                <w:sz w:val="16"/>
                <w:szCs w:val="16"/>
                <w:b w:val="1"/>
                <w:bCs w:val="1"/>
                <w:color w:val="auto"/>
                <w:w w:val="88"/>
              </w:rPr>
              <w:t>Page</w:t>
            </w:r>
          </w:p>
        </w:tc>
      </w:tr>
      <w:tr>
        <w:trPr>
          <w:trHeight w:val="210"/>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gridSpan w:val="3"/>
          </w:tcPr>
          <w:p>
            <w:pPr>
              <w:jc w:val="center"/>
              <w:ind w:left="839"/>
              <w:spacing w:after="0"/>
              <w:rPr>
                <w:sz w:val="20"/>
                <w:szCs w:val="20"/>
                <w:color w:val="auto"/>
              </w:rPr>
            </w:pPr>
            <w:r>
              <w:rPr>
                <w:rFonts w:ascii="Arial" w:cs="Arial" w:eastAsia="Arial" w:hAnsi="Arial"/>
                <w:sz w:val="16"/>
                <w:szCs w:val="16"/>
                <w:b w:val="1"/>
                <w:bCs w:val="1"/>
                <w:color w:val="auto"/>
                <w:w w:val="95"/>
              </w:rPr>
              <w:t>Number</w:t>
            </w:r>
          </w:p>
        </w:tc>
      </w:tr>
      <w:tr>
        <w:trPr>
          <w:trHeight w:val="257"/>
        </w:trPr>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60" w:type="dxa"/>
            <w:vAlign w:val="bottom"/>
            <w:gridSpan w:val="6"/>
          </w:tcPr>
          <w:p>
            <w:pPr>
              <w:jc w:val="center"/>
              <w:ind w:right="3700"/>
              <w:spacing w:after="0"/>
              <w:rPr>
                <w:sz w:val="20"/>
                <w:szCs w:val="20"/>
                <w:color w:val="auto"/>
              </w:rPr>
            </w:pPr>
            <w:r>
              <w:rPr>
                <w:rFonts w:ascii="Arial" w:cs="Arial" w:eastAsia="Arial" w:hAnsi="Arial"/>
                <w:sz w:val="16"/>
                <w:szCs w:val="16"/>
                <w:b w:val="1"/>
                <w:bCs w:val="1"/>
                <w:color w:val="auto"/>
                <w:w w:val="99"/>
              </w:rPr>
              <w:t>PART I</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452"/>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Item 1.</w:t>
              </w:r>
            </w:hyperlink>
          </w:p>
        </w:tc>
        <w:tc>
          <w:tcPr>
            <w:tcW w:w="5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6"/>
                <w:szCs w:val="16"/>
                <w:color w:val="0000EE"/>
                <w:w w:val="86"/>
              </w:rPr>
            </w:pPr>
            <w:hyperlink w:anchor="page4">
              <w:r>
                <w:rPr>
                  <w:rFonts w:ascii="Arial" w:cs="Arial" w:eastAsia="Arial" w:hAnsi="Arial"/>
                  <w:sz w:val="16"/>
                  <w:szCs w:val="16"/>
                  <w:color w:val="0000EE"/>
                  <w:w w:val="86"/>
                </w:rPr>
                <w:t>Business</w:t>
              </w:r>
            </w:hyperlink>
          </w:p>
        </w:tc>
        <w:tc>
          <w:tcPr>
            <w:tcW w:w="7600" w:type="dxa"/>
            <w:vAlign w:val="bottom"/>
            <w:gridSpan w:val="19"/>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c>
          <w:tcPr>
            <w:tcW w:w="220" w:type="dxa"/>
            <w:vAlign w:val="bottom"/>
          </w:tcPr>
          <w:p>
            <w:pPr>
              <w:spacing w:after="0"/>
              <w:rPr>
                <w:sz w:val="24"/>
                <w:szCs w:val="24"/>
                <w:color w:val="auto"/>
              </w:rPr>
            </w:pPr>
          </w:p>
        </w:tc>
      </w:tr>
      <w:tr>
        <w:trPr>
          <w:trHeight w:val="237"/>
        </w:trPr>
        <w:tc>
          <w:tcPr>
            <w:tcW w:w="520" w:type="dxa"/>
            <w:vAlign w:val="bottom"/>
            <w:tcBorders>
              <w:bottom w:val="single" w:sz="8" w:color="0000EE"/>
            </w:tcBorders>
            <w:gridSpan w:val="2"/>
          </w:tcPr>
          <w:p>
            <w:pPr>
              <w:spacing w:after="0"/>
              <w:rPr>
                <w:rFonts w:ascii="Arial" w:cs="Arial" w:eastAsia="Arial" w:hAnsi="Arial"/>
                <w:sz w:val="16"/>
                <w:szCs w:val="16"/>
                <w:color w:val="0000EE"/>
                <w:w w:val="80"/>
              </w:rPr>
            </w:pPr>
            <w:hyperlink w:anchor="page9">
              <w:r>
                <w:rPr>
                  <w:rFonts w:ascii="Arial" w:cs="Arial" w:eastAsia="Arial" w:hAnsi="Arial"/>
                  <w:sz w:val="16"/>
                  <w:szCs w:val="16"/>
                  <w:color w:val="0000EE"/>
                  <w:w w:val="80"/>
                </w:rPr>
                <w:t>Item 1A.</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Risk Factors</w:t>
              </w:r>
            </w:hyperlink>
          </w:p>
        </w:tc>
        <w:tc>
          <w:tcPr>
            <w:tcW w:w="7360" w:type="dxa"/>
            <w:vAlign w:val="bottom"/>
            <w:gridSpan w:val="17"/>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9">
              <w:r>
                <w:rPr>
                  <w:rFonts w:ascii="Arial" w:cs="Arial" w:eastAsia="Arial" w:hAnsi="Arial"/>
                  <w:sz w:val="16"/>
                  <w:szCs w:val="16"/>
                  <w:color w:val="0000EE"/>
                  <w:w w:val="89"/>
                </w:rPr>
                <w:t>9</w:t>
              </w:r>
            </w:hyperlink>
          </w:p>
        </w:tc>
        <w:tc>
          <w:tcPr>
            <w:tcW w:w="220" w:type="dxa"/>
            <w:vAlign w:val="bottom"/>
          </w:tcPr>
          <w:p>
            <w:pPr>
              <w:spacing w:after="0"/>
              <w:rPr>
                <w:sz w:val="20"/>
                <w:szCs w:val="20"/>
                <w:color w:val="auto"/>
              </w:rPr>
            </w:pPr>
          </w:p>
        </w:tc>
      </w:tr>
      <w:tr>
        <w:trPr>
          <w:trHeight w:val="237"/>
        </w:trPr>
        <w:tc>
          <w:tcPr>
            <w:tcW w:w="980" w:type="dxa"/>
            <w:vAlign w:val="bottom"/>
            <w:gridSpan w:val="3"/>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Item 1B.</w:t>
              </w:r>
            </w:hyperlink>
          </w:p>
        </w:tc>
        <w:tc>
          <w:tcPr>
            <w:tcW w:w="8680" w:type="dxa"/>
            <w:vAlign w:val="bottom"/>
            <w:gridSpan w:val="21"/>
          </w:tcPr>
          <w:p>
            <w:pPr>
              <w:ind w:left="500"/>
              <w:spacing w:after="0"/>
              <w:rPr>
                <w:rFonts w:ascii="Arial" w:cs="Arial" w:eastAsia="Arial" w:hAnsi="Arial"/>
                <w:sz w:val="16"/>
                <w:szCs w:val="16"/>
                <w:color w:val="0000EE"/>
              </w:rPr>
            </w:pPr>
            <w:hyperlink w:anchor="page21">
              <w:r>
                <w:rPr>
                  <w:rFonts w:ascii="Arial" w:cs="Arial" w:eastAsia="Arial" w:hAnsi="Arial"/>
                  <w:sz w:val="16"/>
                  <w:szCs w:val="16"/>
                  <w:color w:val="0000EE"/>
                </w:rPr>
                <w:t>Unresolved Staff Comments</w:t>
              </w:r>
            </w:hyperlink>
          </w:p>
        </w:tc>
        <w:tc>
          <w:tcPr>
            <w:tcW w:w="1500" w:type="dxa"/>
            <w:vAlign w:val="bottom"/>
            <w:gridSpan w:val="3"/>
          </w:tcPr>
          <w:p>
            <w:pPr>
              <w:jc w:val="center"/>
              <w:ind w:left="819"/>
              <w:spacing w:after="0"/>
              <w:rPr>
                <w:rFonts w:ascii="Arial" w:cs="Arial" w:eastAsia="Arial" w:hAnsi="Arial"/>
                <w:sz w:val="16"/>
                <w:szCs w:val="16"/>
                <w:color w:val="0000EE"/>
                <w:w w:val="89"/>
              </w:rPr>
            </w:pPr>
            <w:hyperlink w:anchor="page21">
              <w:r>
                <w:rPr>
                  <w:rFonts w:ascii="Arial" w:cs="Arial" w:eastAsia="Arial" w:hAnsi="Arial"/>
                  <w:sz w:val="16"/>
                  <w:szCs w:val="16"/>
                  <w:color w:val="0000EE"/>
                  <w:w w:val="89"/>
                </w:rPr>
                <w:t>21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Item 2.</w:t>
              </w:r>
            </w:hyperlink>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spacing w:after="0"/>
              <w:rPr>
                <w:rFonts w:ascii="Arial" w:cs="Arial" w:eastAsia="Arial" w:hAnsi="Arial"/>
                <w:sz w:val="16"/>
                <w:szCs w:val="16"/>
                <w:color w:val="0000EE"/>
                <w:w w:val="87"/>
              </w:rPr>
            </w:pPr>
            <w:hyperlink w:anchor="page22">
              <w:r>
                <w:rPr>
                  <w:rFonts w:ascii="Arial" w:cs="Arial" w:eastAsia="Arial" w:hAnsi="Arial"/>
                  <w:sz w:val="16"/>
                  <w:szCs w:val="16"/>
                  <w:color w:val="0000EE"/>
                  <w:w w:val="87"/>
                </w:rPr>
                <w:t>Properties</w:t>
              </w:r>
            </w:hyperlink>
          </w:p>
        </w:tc>
        <w:tc>
          <w:tcPr>
            <w:tcW w:w="1180" w:type="dxa"/>
            <w:vAlign w:val="bottom"/>
            <w:gridSpan w:val="7"/>
          </w:tcPr>
          <w:p>
            <w:pPr>
              <w:spacing w:after="0"/>
              <w:rPr>
                <w:sz w:val="20"/>
                <w:szCs w:val="20"/>
                <w:color w:val="auto"/>
              </w:rPr>
            </w:pPr>
          </w:p>
        </w:tc>
        <w:tc>
          <w:tcPr>
            <w:tcW w:w="6340" w:type="dxa"/>
            <w:vAlign w:val="bottom"/>
            <w:gridSpan w:val="11"/>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22">
              <w:r>
                <w:rPr>
                  <w:rFonts w:ascii="Arial" w:cs="Arial" w:eastAsia="Arial" w:hAnsi="Arial"/>
                  <w:sz w:val="15"/>
                  <w:szCs w:val="15"/>
                  <w:color w:val="0000EE"/>
                  <w:w w:val="71"/>
                </w:rPr>
                <w:t>22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Item 3.</w:t>
              </w:r>
            </w:hyperlink>
          </w:p>
        </w:tc>
        <w:tc>
          <w:tcPr>
            <w:tcW w:w="52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8180" w:type="dxa"/>
            <w:vAlign w:val="bottom"/>
            <w:gridSpan w:val="20"/>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Legal Proceedings</w:t>
              </w:r>
            </w:hyperlink>
          </w:p>
        </w:tc>
        <w:tc>
          <w:tcPr>
            <w:tcW w:w="1500" w:type="dxa"/>
            <w:vAlign w:val="bottom"/>
            <w:gridSpan w:val="3"/>
          </w:tcPr>
          <w:p>
            <w:pPr>
              <w:jc w:val="center"/>
              <w:ind w:left="819"/>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22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Item 4.</w:t>
              </w:r>
            </w:hyperlink>
          </w:p>
        </w:tc>
        <w:tc>
          <w:tcPr>
            <w:tcW w:w="52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8180" w:type="dxa"/>
            <w:vAlign w:val="bottom"/>
            <w:gridSpan w:val="20"/>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Mine Safety Disclosures</w:t>
              </w:r>
            </w:hyperlink>
          </w:p>
        </w:tc>
        <w:tc>
          <w:tcPr>
            <w:tcW w:w="1500" w:type="dxa"/>
            <w:vAlign w:val="bottom"/>
            <w:gridSpan w:val="3"/>
          </w:tcPr>
          <w:p>
            <w:pPr>
              <w:jc w:val="center"/>
              <w:ind w:left="819"/>
              <w:spacing w:after="0"/>
              <w:rPr>
                <w:rFonts w:ascii="Arial" w:cs="Arial" w:eastAsia="Arial" w:hAnsi="Arial"/>
                <w:sz w:val="16"/>
                <w:szCs w:val="16"/>
                <w:color w:val="0000EE"/>
                <w:w w:val="89"/>
              </w:rPr>
            </w:pPr>
            <w:hyperlink w:anchor="page22">
              <w:r>
                <w:rPr>
                  <w:rFonts w:ascii="Arial" w:cs="Arial" w:eastAsia="Arial" w:hAnsi="Arial"/>
                  <w:sz w:val="16"/>
                  <w:szCs w:val="16"/>
                  <w:color w:val="0000EE"/>
                  <w:w w:val="89"/>
                </w:rPr>
                <w:t>22</w:t>
              </w:r>
            </w:hyperlink>
          </w:p>
        </w:tc>
      </w:tr>
      <w:tr>
        <w:trPr>
          <w:trHeight w:val="501"/>
        </w:trPr>
        <w:tc>
          <w:tcPr>
            <w:tcW w:w="4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00" w:type="dxa"/>
            <w:vAlign w:val="bottom"/>
            <w:gridSpan w:val="7"/>
          </w:tcPr>
          <w:p>
            <w:pPr>
              <w:jc w:val="center"/>
              <w:ind w:right="3480"/>
              <w:spacing w:after="0"/>
              <w:rPr>
                <w:sz w:val="20"/>
                <w:szCs w:val="20"/>
                <w:color w:val="auto"/>
              </w:rPr>
            </w:pPr>
            <w:r>
              <w:rPr>
                <w:rFonts w:ascii="Arial" w:cs="Arial" w:eastAsia="Arial" w:hAnsi="Arial"/>
                <w:sz w:val="16"/>
                <w:szCs w:val="16"/>
                <w:b w:val="1"/>
                <w:bCs w:val="1"/>
                <w:color w:val="auto"/>
              </w:rPr>
              <w:t>PART II</w:t>
            </w:r>
          </w:p>
        </w:tc>
        <w:tc>
          <w:tcPr>
            <w:tcW w:w="1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r>
        <w:trPr>
          <w:trHeight w:val="452"/>
        </w:trPr>
        <w:tc>
          <w:tcPr>
            <w:tcW w:w="460" w:type="dxa"/>
            <w:vAlign w:val="bottom"/>
          </w:tcPr>
          <w:p>
            <w:pPr>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Item 5.</w:t>
              </w:r>
            </w:hyperlink>
          </w:p>
        </w:tc>
        <w:tc>
          <w:tcPr>
            <w:tcW w:w="5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19"/>
          </w:tcPr>
          <w:p>
            <w:pPr>
              <w:spacing w:after="0"/>
              <w:rPr>
                <w:rFonts w:ascii="Arial" w:cs="Arial" w:eastAsia="Arial" w:hAnsi="Arial"/>
                <w:sz w:val="16"/>
                <w:szCs w:val="16"/>
                <w:color w:val="0000EE"/>
                <w:w w:val="91"/>
              </w:rPr>
            </w:pPr>
            <w:hyperlink w:anchor="page23">
              <w:r>
                <w:rPr>
                  <w:rFonts w:ascii="Arial" w:cs="Arial" w:eastAsia="Arial" w:hAnsi="Arial"/>
                  <w:sz w:val="16"/>
                  <w:szCs w:val="16"/>
                  <w:color w:val="0000EE"/>
                  <w:w w:val="91"/>
                </w:rPr>
                <w:t>Market for Registrant’s Common Equity, Related Stockholder Matters and Issuer Purchases of Equity Securities</w:t>
              </w:r>
            </w:hyperlink>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23">
              <w:r>
                <w:rPr>
                  <w:rFonts w:ascii="Arial" w:cs="Arial" w:eastAsia="Arial" w:hAnsi="Arial"/>
                  <w:sz w:val="15"/>
                  <w:szCs w:val="15"/>
                  <w:color w:val="0000EE"/>
                  <w:w w:val="71"/>
                </w:rPr>
                <w:t>23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Item 6.</w:t>
              </w:r>
            </w:hyperlink>
          </w:p>
        </w:tc>
        <w:tc>
          <w:tcPr>
            <w:tcW w:w="52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gridSpan w:val="6"/>
          </w:tcPr>
          <w:p>
            <w:pPr>
              <w:spacing w:after="0"/>
              <w:rPr>
                <w:rFonts w:ascii="Arial" w:cs="Arial" w:eastAsia="Arial" w:hAnsi="Arial"/>
                <w:sz w:val="16"/>
                <w:szCs w:val="16"/>
                <w:color w:val="0000EE"/>
                <w:w w:val="89"/>
              </w:rPr>
            </w:pPr>
            <w:hyperlink w:anchor="page25">
              <w:r>
                <w:rPr>
                  <w:rFonts w:ascii="Arial" w:cs="Arial" w:eastAsia="Arial" w:hAnsi="Arial"/>
                  <w:sz w:val="16"/>
                  <w:szCs w:val="16"/>
                  <w:color w:val="0000EE"/>
                  <w:w w:val="89"/>
                </w:rPr>
                <w:t>Selected Financial Data</w:t>
              </w:r>
            </w:hyperlink>
          </w:p>
        </w:tc>
        <w:tc>
          <w:tcPr>
            <w:tcW w:w="5740" w:type="dxa"/>
            <w:vAlign w:val="bottom"/>
            <w:gridSpan w:val="13"/>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25">
              <w:r>
                <w:rPr>
                  <w:rFonts w:ascii="Arial" w:cs="Arial" w:eastAsia="Arial" w:hAnsi="Arial"/>
                  <w:sz w:val="15"/>
                  <w:szCs w:val="15"/>
                  <w:color w:val="0000EE"/>
                  <w:w w:val="71"/>
                </w:rPr>
                <w:t>25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26">
              <w:r>
                <w:rPr>
                  <w:rFonts w:ascii="Arial" w:cs="Arial" w:eastAsia="Arial" w:hAnsi="Arial"/>
                  <w:sz w:val="16"/>
                  <w:szCs w:val="16"/>
                  <w:color w:val="0000EE"/>
                  <w:w w:val="89"/>
                </w:rPr>
                <w:t>Item 7.</w:t>
              </w:r>
            </w:hyperlink>
          </w:p>
        </w:tc>
        <w:tc>
          <w:tcPr>
            <w:tcW w:w="52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5820" w:type="dxa"/>
            <w:vAlign w:val="bottom"/>
            <w:gridSpan w:val="16"/>
          </w:tcPr>
          <w:p>
            <w:pPr>
              <w:spacing w:after="0"/>
              <w:rPr>
                <w:rFonts w:ascii="Arial" w:cs="Arial" w:eastAsia="Arial" w:hAnsi="Arial"/>
                <w:sz w:val="16"/>
                <w:szCs w:val="16"/>
                <w:color w:val="0000EE"/>
                <w:w w:val="92"/>
              </w:rPr>
            </w:pPr>
            <w:hyperlink w:anchor="page26">
              <w:r>
                <w:rPr>
                  <w:rFonts w:ascii="Arial" w:cs="Arial" w:eastAsia="Arial" w:hAnsi="Arial"/>
                  <w:sz w:val="16"/>
                  <w:szCs w:val="16"/>
                  <w:color w:val="0000EE"/>
                  <w:w w:val="92"/>
                </w:rPr>
                <w:t>Management’s Discussion and Analysis of Financial Condition and Results of Operations</w:t>
              </w:r>
            </w:hyperlink>
          </w:p>
        </w:tc>
        <w:tc>
          <w:tcPr>
            <w:tcW w:w="2360" w:type="dxa"/>
            <w:vAlign w:val="bottom"/>
            <w:gridSpan w:val="4"/>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26">
              <w:r>
                <w:rPr>
                  <w:rFonts w:ascii="Arial" w:cs="Arial" w:eastAsia="Arial" w:hAnsi="Arial"/>
                  <w:sz w:val="15"/>
                  <w:szCs w:val="15"/>
                  <w:color w:val="0000EE"/>
                  <w:w w:val="71"/>
                </w:rPr>
                <w:t>26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39">
              <w:r>
                <w:rPr>
                  <w:rFonts w:ascii="Arial" w:cs="Arial" w:eastAsia="Arial" w:hAnsi="Arial"/>
                  <w:sz w:val="16"/>
                  <w:szCs w:val="16"/>
                  <w:color w:val="0000EE"/>
                  <w:w w:val="80"/>
                </w:rPr>
                <w:t>Item 7A.</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80" w:type="dxa"/>
            <w:vAlign w:val="bottom"/>
            <w:gridSpan w:val="20"/>
          </w:tcPr>
          <w:p>
            <w:pPr>
              <w:spacing w:after="0"/>
              <w:rPr>
                <w:rFonts w:ascii="Arial" w:cs="Arial" w:eastAsia="Arial" w:hAnsi="Arial"/>
                <w:sz w:val="16"/>
                <w:szCs w:val="16"/>
                <w:color w:val="0000EE"/>
              </w:rPr>
            </w:pPr>
            <w:hyperlink w:anchor="page39">
              <w:r>
                <w:rPr>
                  <w:rFonts w:ascii="Arial" w:cs="Arial" w:eastAsia="Arial" w:hAnsi="Arial"/>
                  <w:sz w:val="16"/>
                  <w:szCs w:val="16"/>
                  <w:color w:val="0000EE"/>
                </w:rPr>
                <w:t>Quantitative and Qualitative Disclosures About Market Risk</w:t>
              </w:r>
            </w:hyperlink>
          </w:p>
        </w:tc>
        <w:tc>
          <w:tcPr>
            <w:tcW w:w="1500" w:type="dxa"/>
            <w:vAlign w:val="bottom"/>
            <w:gridSpan w:val="3"/>
          </w:tcPr>
          <w:p>
            <w:pPr>
              <w:jc w:val="center"/>
              <w:ind w:left="819"/>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39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Item 8.</w:t>
              </w:r>
            </w:hyperlink>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0" w:type="dxa"/>
            <w:vAlign w:val="bottom"/>
            <w:gridSpan w:val="12"/>
          </w:tcPr>
          <w:p>
            <w:pPr>
              <w:spacing w:after="0"/>
              <w:rPr>
                <w:rFonts w:ascii="Arial" w:cs="Arial" w:eastAsia="Arial" w:hAnsi="Arial"/>
                <w:sz w:val="16"/>
                <w:szCs w:val="16"/>
                <w:color w:val="0000EE"/>
                <w:w w:val="90"/>
              </w:rPr>
            </w:pPr>
            <w:hyperlink w:anchor="page40">
              <w:r>
                <w:rPr>
                  <w:rFonts w:ascii="Arial" w:cs="Arial" w:eastAsia="Arial" w:hAnsi="Arial"/>
                  <w:sz w:val="16"/>
                  <w:szCs w:val="16"/>
                  <w:color w:val="0000EE"/>
                  <w:w w:val="90"/>
                </w:rPr>
                <w:t>Financial Statements and Supplementary Data</w:t>
              </w:r>
            </w:hyperlink>
          </w:p>
        </w:tc>
        <w:tc>
          <w:tcPr>
            <w:tcW w:w="920" w:type="dxa"/>
            <w:vAlign w:val="bottom"/>
            <w:gridSpan w:val="2"/>
          </w:tcPr>
          <w:p>
            <w:pPr>
              <w:spacing w:after="0"/>
              <w:rPr>
                <w:sz w:val="20"/>
                <w:szCs w:val="20"/>
                <w:color w:val="auto"/>
              </w:rPr>
            </w:pPr>
          </w:p>
        </w:tc>
        <w:tc>
          <w:tcPr>
            <w:tcW w:w="4260" w:type="dxa"/>
            <w:vAlign w:val="bottom"/>
            <w:gridSpan w:val="6"/>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40">
              <w:r>
                <w:rPr>
                  <w:rFonts w:ascii="Arial" w:cs="Arial" w:eastAsia="Arial" w:hAnsi="Arial"/>
                  <w:sz w:val="15"/>
                  <w:szCs w:val="15"/>
                  <w:color w:val="0000EE"/>
                  <w:w w:val="71"/>
                </w:rPr>
                <w:t>40</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9"/>
              </w:rPr>
            </w:pPr>
            <w:hyperlink w:anchor="page72">
              <w:r>
                <w:rPr>
                  <w:rFonts w:ascii="Arial" w:cs="Arial" w:eastAsia="Arial" w:hAnsi="Arial"/>
                  <w:sz w:val="16"/>
                  <w:szCs w:val="16"/>
                  <w:color w:val="0000EE"/>
                  <w:w w:val="89"/>
                </w:rPr>
                <w:t>Item 9.</w:t>
              </w:r>
            </w:hyperlink>
          </w:p>
        </w:tc>
        <w:tc>
          <w:tcPr>
            <w:tcW w:w="52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5840" w:type="dxa"/>
            <w:vAlign w:val="bottom"/>
            <w:gridSpan w:val="17"/>
          </w:tcPr>
          <w:p>
            <w:pPr>
              <w:spacing w:after="0"/>
              <w:rPr>
                <w:rFonts w:ascii="Arial" w:cs="Arial" w:eastAsia="Arial" w:hAnsi="Arial"/>
                <w:sz w:val="16"/>
                <w:szCs w:val="16"/>
                <w:color w:val="0000EE"/>
                <w:w w:val="91"/>
              </w:rPr>
            </w:pPr>
            <w:hyperlink w:anchor="page72">
              <w:r>
                <w:rPr>
                  <w:rFonts w:ascii="Arial" w:cs="Arial" w:eastAsia="Arial" w:hAnsi="Arial"/>
                  <w:sz w:val="16"/>
                  <w:szCs w:val="16"/>
                  <w:color w:val="0000EE"/>
                  <w:w w:val="91"/>
                </w:rPr>
                <w:t>Changes in and Disagreements with Accountants on Accounting and Financial Disclosure</w:t>
              </w:r>
            </w:hyperlink>
          </w:p>
        </w:tc>
        <w:tc>
          <w:tcPr>
            <w:tcW w:w="2340" w:type="dxa"/>
            <w:vAlign w:val="bottom"/>
            <w:gridSpan w:val="3"/>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2">
              <w:r>
                <w:rPr>
                  <w:rFonts w:ascii="Arial" w:cs="Arial" w:eastAsia="Arial" w:hAnsi="Arial"/>
                  <w:sz w:val="15"/>
                  <w:szCs w:val="15"/>
                  <w:color w:val="0000EE"/>
                  <w:w w:val="71"/>
                </w:rPr>
                <w:t>72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72">
              <w:r>
                <w:rPr>
                  <w:rFonts w:ascii="Arial" w:cs="Arial" w:eastAsia="Arial" w:hAnsi="Arial"/>
                  <w:sz w:val="16"/>
                  <w:szCs w:val="16"/>
                  <w:color w:val="0000EE"/>
                  <w:w w:val="80"/>
                </w:rPr>
                <w:t>Item 9A.</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gridSpan w:val="7"/>
          </w:tcPr>
          <w:p>
            <w:pPr>
              <w:spacing w:after="0"/>
              <w:rPr>
                <w:rFonts w:ascii="Arial" w:cs="Arial" w:eastAsia="Arial" w:hAnsi="Arial"/>
                <w:sz w:val="16"/>
                <w:szCs w:val="16"/>
                <w:color w:val="0000EE"/>
                <w:w w:val="89"/>
              </w:rPr>
            </w:pPr>
            <w:hyperlink w:anchor="page72">
              <w:r>
                <w:rPr>
                  <w:rFonts w:ascii="Arial" w:cs="Arial" w:eastAsia="Arial" w:hAnsi="Arial"/>
                  <w:sz w:val="16"/>
                  <w:szCs w:val="16"/>
                  <w:color w:val="0000EE"/>
                  <w:w w:val="89"/>
                </w:rPr>
                <w:t>Controls and Procedures</w:t>
              </w:r>
            </w:hyperlink>
          </w:p>
        </w:tc>
        <w:tc>
          <w:tcPr>
            <w:tcW w:w="6580" w:type="dxa"/>
            <w:vAlign w:val="bottom"/>
            <w:gridSpan w:val="13"/>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2">
              <w:r>
                <w:rPr>
                  <w:rFonts w:ascii="Arial" w:cs="Arial" w:eastAsia="Arial" w:hAnsi="Arial"/>
                  <w:sz w:val="15"/>
                  <w:szCs w:val="15"/>
                  <w:color w:val="0000EE"/>
                  <w:w w:val="71"/>
                </w:rPr>
                <w:t>72</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0"/>
              </w:rPr>
            </w:pPr>
            <w:hyperlink w:anchor="page75">
              <w:r>
                <w:rPr>
                  <w:rFonts w:ascii="Arial" w:cs="Arial" w:eastAsia="Arial" w:hAnsi="Arial"/>
                  <w:sz w:val="16"/>
                  <w:szCs w:val="16"/>
                  <w:color w:val="0000EE"/>
                  <w:w w:val="80"/>
                </w:rPr>
                <w:t>Item 9B.</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gridSpan w:val="7"/>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Other Information</w:t>
              </w:r>
            </w:hyperlink>
          </w:p>
        </w:tc>
        <w:tc>
          <w:tcPr>
            <w:tcW w:w="6580" w:type="dxa"/>
            <w:vAlign w:val="bottom"/>
            <w:gridSpan w:val="13"/>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5">
              <w:r>
                <w:rPr>
                  <w:rFonts w:ascii="Arial" w:cs="Arial" w:eastAsia="Arial" w:hAnsi="Arial"/>
                  <w:sz w:val="15"/>
                  <w:szCs w:val="15"/>
                  <w:color w:val="0000EE"/>
                  <w:w w:val="71"/>
                </w:rPr>
                <w:t>75</w:t>
              </w:r>
            </w:hyperlink>
          </w:p>
        </w:tc>
      </w:tr>
      <w:tr>
        <w:trPr>
          <w:trHeight w:val="501"/>
        </w:trPr>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00" w:type="dxa"/>
            <w:vAlign w:val="bottom"/>
            <w:gridSpan w:val="7"/>
          </w:tcPr>
          <w:p>
            <w:pPr>
              <w:jc w:val="center"/>
              <w:ind w:right="3480"/>
              <w:spacing w:after="0"/>
              <w:rPr>
                <w:sz w:val="20"/>
                <w:szCs w:val="20"/>
                <w:color w:val="auto"/>
              </w:rPr>
            </w:pPr>
            <w:r>
              <w:rPr>
                <w:rFonts w:ascii="Arial" w:cs="Arial" w:eastAsia="Arial" w:hAnsi="Arial"/>
                <w:sz w:val="16"/>
                <w:szCs w:val="16"/>
                <w:b w:val="1"/>
                <w:bCs w:val="1"/>
                <w:color w:val="auto"/>
              </w:rPr>
              <w:t>PART III</w:t>
            </w:r>
          </w:p>
        </w:tc>
        <w:tc>
          <w:tcPr>
            <w:tcW w:w="1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r>
        <w:trPr>
          <w:trHeight w:val="452"/>
        </w:trPr>
        <w:tc>
          <w:tcPr>
            <w:tcW w:w="520" w:type="dxa"/>
            <w:vAlign w:val="bottom"/>
            <w:gridSpan w:val="2"/>
          </w:tcPr>
          <w:p>
            <w:pPr>
              <w:spacing w:after="0"/>
              <w:rPr>
                <w:rFonts w:ascii="Arial" w:cs="Arial" w:eastAsia="Arial" w:hAnsi="Arial"/>
                <w:sz w:val="16"/>
                <w:szCs w:val="16"/>
                <w:color w:val="0000EE"/>
                <w:w w:val="82"/>
              </w:rPr>
            </w:pPr>
            <w:hyperlink w:anchor="page75">
              <w:r>
                <w:rPr>
                  <w:rFonts w:ascii="Arial" w:cs="Arial" w:eastAsia="Arial" w:hAnsi="Arial"/>
                  <w:sz w:val="16"/>
                  <w:szCs w:val="16"/>
                  <w:color w:val="0000EE"/>
                  <w:w w:val="82"/>
                </w:rPr>
                <w:t>Item 10.</w:t>
              </w:r>
            </w:hyperlink>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gridSpan w:val="20"/>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Directors, Executive Officers and Corporate Governance</w:t>
              </w:r>
            </w:hyperlink>
          </w:p>
        </w:tc>
        <w:tc>
          <w:tcPr>
            <w:tcW w:w="1500" w:type="dxa"/>
            <w:vAlign w:val="bottom"/>
            <w:gridSpan w:val="3"/>
          </w:tcPr>
          <w:p>
            <w:pPr>
              <w:jc w:val="center"/>
              <w:ind w:left="819"/>
              <w:spacing w:after="0"/>
              <w:rPr>
                <w:rFonts w:ascii="Arial" w:cs="Arial" w:eastAsia="Arial" w:hAnsi="Arial"/>
                <w:sz w:val="16"/>
                <w:szCs w:val="16"/>
                <w:color w:val="0000EE"/>
                <w:w w:val="89"/>
              </w:rPr>
            </w:pPr>
            <w:hyperlink w:anchor="page75">
              <w:r>
                <w:rPr>
                  <w:rFonts w:ascii="Arial" w:cs="Arial" w:eastAsia="Arial" w:hAnsi="Arial"/>
                  <w:sz w:val="16"/>
                  <w:szCs w:val="16"/>
                  <w:color w:val="0000EE"/>
                  <w:w w:val="89"/>
                </w:rPr>
                <w:t>75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75">
              <w:r>
                <w:rPr>
                  <w:rFonts w:ascii="Arial" w:cs="Arial" w:eastAsia="Arial" w:hAnsi="Arial"/>
                  <w:sz w:val="16"/>
                  <w:szCs w:val="16"/>
                  <w:color w:val="0000EE"/>
                  <w:w w:val="82"/>
                </w:rPr>
                <w:t>Item 11.</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80" w:type="dxa"/>
            <w:vAlign w:val="bottom"/>
            <w:gridSpan w:val="13"/>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Executive Compensation</w:t>
              </w:r>
            </w:hyperlink>
          </w:p>
        </w:tc>
        <w:tc>
          <w:tcPr>
            <w:tcW w:w="4500" w:type="dxa"/>
            <w:vAlign w:val="bottom"/>
            <w:gridSpan w:val="7"/>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5">
              <w:r>
                <w:rPr>
                  <w:rFonts w:ascii="Arial" w:cs="Arial" w:eastAsia="Arial" w:hAnsi="Arial"/>
                  <w:sz w:val="15"/>
                  <w:szCs w:val="15"/>
                  <w:color w:val="0000EE"/>
                  <w:w w:val="71"/>
                </w:rPr>
                <w:t>75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75">
              <w:r>
                <w:rPr>
                  <w:rFonts w:ascii="Arial" w:cs="Arial" w:eastAsia="Arial" w:hAnsi="Arial"/>
                  <w:sz w:val="16"/>
                  <w:szCs w:val="16"/>
                  <w:color w:val="0000EE"/>
                  <w:w w:val="82"/>
                </w:rPr>
                <w:t>Item 12.</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180" w:type="dxa"/>
            <w:vAlign w:val="bottom"/>
            <w:gridSpan w:val="20"/>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Security Ownership of Certain Beneficial Owners and Management and Related Stockholder Matters</w:t>
              </w:r>
            </w:hyperlink>
          </w:p>
        </w:tc>
        <w:tc>
          <w:tcPr>
            <w:tcW w:w="1500" w:type="dxa"/>
            <w:vAlign w:val="bottom"/>
            <w:gridSpan w:val="3"/>
          </w:tcPr>
          <w:p>
            <w:pPr>
              <w:jc w:val="center"/>
              <w:ind w:left="819"/>
              <w:spacing w:after="0"/>
              <w:rPr>
                <w:rFonts w:ascii="Arial" w:cs="Arial" w:eastAsia="Arial" w:hAnsi="Arial"/>
                <w:sz w:val="16"/>
                <w:szCs w:val="16"/>
                <w:color w:val="0000EE"/>
                <w:w w:val="89"/>
              </w:rPr>
            </w:pPr>
            <w:hyperlink w:anchor="page75">
              <w:r>
                <w:rPr>
                  <w:rFonts w:ascii="Arial" w:cs="Arial" w:eastAsia="Arial" w:hAnsi="Arial"/>
                  <w:sz w:val="16"/>
                  <w:szCs w:val="16"/>
                  <w:color w:val="0000EE"/>
                  <w:w w:val="89"/>
                </w:rPr>
                <w:t>75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75">
              <w:r>
                <w:rPr>
                  <w:rFonts w:ascii="Arial" w:cs="Arial" w:eastAsia="Arial" w:hAnsi="Arial"/>
                  <w:sz w:val="16"/>
                  <w:szCs w:val="16"/>
                  <w:color w:val="0000EE"/>
                  <w:w w:val="82"/>
                </w:rPr>
                <w:t>Item 13.</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560" w:type="dxa"/>
            <w:vAlign w:val="bottom"/>
            <w:gridSpan w:val="18"/>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Certain Relationships and Related Transactions, and Director Independence</w:t>
              </w:r>
            </w:hyperlink>
          </w:p>
        </w:tc>
        <w:tc>
          <w:tcPr>
            <w:tcW w:w="162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5">
              <w:r>
                <w:rPr>
                  <w:rFonts w:ascii="Arial" w:cs="Arial" w:eastAsia="Arial" w:hAnsi="Arial"/>
                  <w:sz w:val="15"/>
                  <w:szCs w:val="15"/>
                  <w:color w:val="0000EE"/>
                  <w:w w:val="71"/>
                </w:rPr>
                <w:t>75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75">
              <w:r>
                <w:rPr>
                  <w:rFonts w:ascii="Arial" w:cs="Arial" w:eastAsia="Arial" w:hAnsi="Arial"/>
                  <w:sz w:val="16"/>
                  <w:szCs w:val="16"/>
                  <w:color w:val="0000EE"/>
                  <w:w w:val="82"/>
                </w:rPr>
                <w:t>Item 14.</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00" w:type="dxa"/>
            <w:vAlign w:val="bottom"/>
            <w:gridSpan w:val="15"/>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Principal Accounting Fees and Services</w:t>
              </w:r>
            </w:hyperlink>
          </w:p>
        </w:tc>
        <w:tc>
          <w:tcPr>
            <w:tcW w:w="3280" w:type="dxa"/>
            <w:vAlign w:val="bottom"/>
            <w:gridSpan w:val="5"/>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5">
              <w:r>
                <w:rPr>
                  <w:rFonts w:ascii="Arial" w:cs="Arial" w:eastAsia="Arial" w:hAnsi="Arial"/>
                  <w:sz w:val="15"/>
                  <w:szCs w:val="15"/>
                  <w:color w:val="0000EE"/>
                  <w:w w:val="71"/>
                </w:rPr>
                <w:t>75</w:t>
              </w:r>
            </w:hyperlink>
          </w:p>
        </w:tc>
      </w:tr>
      <w:tr>
        <w:trPr>
          <w:trHeight w:val="501"/>
        </w:trPr>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00" w:type="dxa"/>
            <w:vAlign w:val="bottom"/>
            <w:gridSpan w:val="7"/>
          </w:tcPr>
          <w:p>
            <w:pPr>
              <w:jc w:val="center"/>
              <w:ind w:right="3460"/>
              <w:spacing w:after="0"/>
              <w:rPr>
                <w:sz w:val="20"/>
                <w:szCs w:val="20"/>
                <w:color w:val="auto"/>
              </w:rPr>
            </w:pPr>
            <w:r>
              <w:rPr>
                <w:rFonts w:ascii="Arial" w:cs="Arial" w:eastAsia="Arial" w:hAnsi="Arial"/>
                <w:sz w:val="16"/>
                <w:szCs w:val="16"/>
                <w:b w:val="1"/>
                <w:bCs w:val="1"/>
                <w:color w:val="auto"/>
              </w:rPr>
              <w:t>PART IV</w:t>
            </w:r>
          </w:p>
        </w:tc>
        <w:tc>
          <w:tcPr>
            <w:tcW w:w="1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r>
        <w:trPr>
          <w:trHeight w:val="452"/>
        </w:trPr>
        <w:tc>
          <w:tcPr>
            <w:tcW w:w="520" w:type="dxa"/>
            <w:vAlign w:val="bottom"/>
            <w:gridSpan w:val="2"/>
          </w:tcPr>
          <w:p>
            <w:pPr>
              <w:spacing w:after="0"/>
              <w:rPr>
                <w:rFonts w:ascii="Arial" w:cs="Arial" w:eastAsia="Arial" w:hAnsi="Arial"/>
                <w:sz w:val="16"/>
                <w:szCs w:val="16"/>
                <w:color w:val="0000EE"/>
                <w:w w:val="82"/>
              </w:rPr>
            </w:pPr>
            <w:hyperlink w:anchor="page76">
              <w:r>
                <w:rPr>
                  <w:rFonts w:ascii="Arial" w:cs="Arial" w:eastAsia="Arial" w:hAnsi="Arial"/>
                  <w:sz w:val="16"/>
                  <w:szCs w:val="16"/>
                  <w:color w:val="0000EE"/>
                  <w:w w:val="82"/>
                </w:rPr>
                <w:t>Item 15.</w:t>
              </w:r>
            </w:hyperlink>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6"/>
                <w:szCs w:val="16"/>
                <w:color w:val="0000EE"/>
                <w:w w:val="91"/>
              </w:rPr>
            </w:pPr>
            <w:hyperlink w:anchor="page76">
              <w:r>
                <w:rPr>
                  <w:rFonts w:ascii="Arial" w:cs="Arial" w:eastAsia="Arial" w:hAnsi="Arial"/>
                  <w:sz w:val="16"/>
                  <w:szCs w:val="16"/>
                  <w:color w:val="0000EE"/>
                  <w:w w:val="91"/>
                </w:rPr>
                <w:t>Exhibits, Financial Statement Schedules</w:t>
              </w:r>
            </w:hyperlink>
          </w:p>
        </w:tc>
        <w:tc>
          <w:tcPr>
            <w:tcW w:w="5560" w:type="dxa"/>
            <w:vAlign w:val="bottom"/>
            <w:gridSpan w:val="9"/>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6">
              <w:r>
                <w:rPr>
                  <w:rFonts w:ascii="Arial" w:cs="Arial" w:eastAsia="Arial" w:hAnsi="Arial"/>
                  <w:sz w:val="15"/>
                  <w:szCs w:val="15"/>
                  <w:color w:val="0000EE"/>
                  <w:w w:val="71"/>
                </w:rPr>
                <w:t>76</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20" w:type="dxa"/>
            <w:vAlign w:val="bottom"/>
            <w:gridSpan w:val="2"/>
          </w:tcPr>
          <w:p>
            <w:pPr>
              <w:spacing w:after="0"/>
              <w:rPr>
                <w:rFonts w:ascii="Arial" w:cs="Arial" w:eastAsia="Arial" w:hAnsi="Arial"/>
                <w:sz w:val="16"/>
                <w:szCs w:val="16"/>
                <w:color w:val="0000EE"/>
                <w:w w:val="82"/>
              </w:rPr>
            </w:pPr>
            <w:hyperlink w:anchor="page78">
              <w:r>
                <w:rPr>
                  <w:rFonts w:ascii="Arial" w:cs="Arial" w:eastAsia="Arial" w:hAnsi="Arial"/>
                  <w:sz w:val="16"/>
                  <w:szCs w:val="16"/>
                  <w:color w:val="0000EE"/>
                  <w:w w:val="82"/>
                </w:rPr>
                <w:t>Item 16.</w:t>
              </w:r>
            </w:hyperlink>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gridSpan w:val="5"/>
          </w:tcPr>
          <w:p>
            <w:pPr>
              <w:spacing w:after="0"/>
              <w:rPr>
                <w:rFonts w:ascii="Arial" w:cs="Arial" w:eastAsia="Arial" w:hAnsi="Arial"/>
                <w:sz w:val="16"/>
                <w:szCs w:val="16"/>
                <w:color w:val="0000EE"/>
                <w:w w:val="92"/>
              </w:rPr>
            </w:pPr>
            <w:hyperlink w:anchor="page78">
              <w:r>
                <w:rPr>
                  <w:rFonts w:ascii="Arial" w:cs="Arial" w:eastAsia="Arial" w:hAnsi="Arial"/>
                  <w:sz w:val="16"/>
                  <w:szCs w:val="16"/>
                  <w:color w:val="0000EE"/>
                  <w:w w:val="92"/>
                </w:rPr>
                <w:t>Form 10-K Summary</w:t>
              </w:r>
            </w:hyperlink>
          </w:p>
        </w:tc>
        <w:tc>
          <w:tcPr>
            <w:tcW w:w="1220" w:type="dxa"/>
            <w:vAlign w:val="bottom"/>
            <w:gridSpan w:val="6"/>
          </w:tcPr>
          <w:p>
            <w:pPr>
              <w:spacing w:after="0"/>
              <w:rPr>
                <w:sz w:val="20"/>
                <w:szCs w:val="20"/>
                <w:color w:val="auto"/>
              </w:rPr>
            </w:pPr>
          </w:p>
        </w:tc>
        <w:tc>
          <w:tcPr>
            <w:tcW w:w="5560" w:type="dxa"/>
            <w:vAlign w:val="bottom"/>
            <w:gridSpan w:val="9"/>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8">
              <w:r>
                <w:rPr>
                  <w:rFonts w:ascii="Arial" w:cs="Arial" w:eastAsia="Arial" w:hAnsi="Arial"/>
                  <w:sz w:val="15"/>
                  <w:szCs w:val="15"/>
                  <w:color w:val="0000EE"/>
                  <w:w w:val="71"/>
                </w:rPr>
                <w:t>78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80" w:type="dxa"/>
            <w:vAlign w:val="bottom"/>
            <w:gridSpan w:val="3"/>
          </w:tcPr>
          <w:p>
            <w:pPr>
              <w:spacing w:after="0"/>
              <w:rPr>
                <w:rFonts w:ascii="Arial" w:cs="Arial" w:eastAsia="Arial" w:hAnsi="Arial"/>
                <w:sz w:val="16"/>
                <w:szCs w:val="16"/>
                <w:color w:val="0000EE"/>
                <w:w w:val="92"/>
              </w:rPr>
            </w:pPr>
            <w:hyperlink w:anchor="page78">
              <w:r>
                <w:rPr>
                  <w:rFonts w:ascii="Arial" w:cs="Arial" w:eastAsia="Arial" w:hAnsi="Arial"/>
                  <w:sz w:val="16"/>
                  <w:szCs w:val="16"/>
                  <w:color w:val="0000EE"/>
                  <w:w w:val="92"/>
                </w:rPr>
                <w:t>SIGNATURES</w:t>
              </w:r>
            </w:hyperlink>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gridSpan w:val="2"/>
          </w:tcPr>
          <w:p>
            <w:pPr>
              <w:jc w:val="center"/>
              <w:ind w:right="220"/>
              <w:spacing w:after="0"/>
              <w:rPr>
                <w:rFonts w:ascii="Arial" w:cs="Arial" w:eastAsia="Arial" w:hAnsi="Arial"/>
                <w:sz w:val="15"/>
                <w:szCs w:val="15"/>
                <w:color w:val="0000EE"/>
                <w:w w:val="71"/>
              </w:rPr>
            </w:pPr>
            <w:hyperlink w:anchor="page78">
              <w:r>
                <w:rPr>
                  <w:rFonts w:ascii="Arial" w:cs="Arial" w:eastAsia="Arial" w:hAnsi="Arial"/>
                  <w:sz w:val="15"/>
                  <w:szCs w:val="15"/>
                  <w:color w:val="0000EE"/>
                  <w:w w:val="71"/>
                </w:rPr>
                <w:t>78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280" w:top="607" w:right="4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Annual Report on Form 10-K (“Annual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and similar expressions. This Annual Report contains, among others, forward-looking statements based upon current expectations that involve numerous risks and uncertainties, including those described in Item 1A “Risk Factors”.</w:t>
      </w:r>
    </w:p>
    <w:p>
      <w:pPr>
        <w:spacing w:after="0" w:line="17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4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Option Care Health, Inc. assumes no obligation to publicly update or revise any forward-looking statement even if experience or future changes make it clear that any projected results expressed or implied therein will not be realized.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1" w:right="27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Care Health, Inc. (“Option Care Health”, “we”, “us”, “our”, or the “Company”) is the largest independent provider of home and alternate site infusion services through its national network of 158 locations in 45 states. Option Care Health draws on nearly 40 years of clinical care experience to offer patient-centered, cost-effective infusion therapy. Option Care Health’s infusion services include the clinical management of infusion therapy, nursing support and care coordination. Option Care Health’s multidisciplinary team of approximately 2,900 clinicians, including pharmacists, pharmacy technicians, nurses and dietitians, are able to provide infusion service coverage for nearly all patients across the United States needing treatment for complex and chronic medical conditions.</w:t>
      </w:r>
    </w:p>
    <w:p>
      <w:pPr>
        <w:spacing w:after="0" w:line="11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0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w:t>
      </w:r>
    </w:p>
    <w:p>
      <w:pPr>
        <w:spacing w:after="0" w:line="7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Option Care Health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operating model enables it to provide favorable outcomes to its stakeholders as follows:</w:t>
      </w:r>
    </w:p>
    <w:p>
      <w:pPr>
        <w:spacing w:after="0" w:line="140" w:lineRule="exact"/>
        <w:rPr>
          <w:sz w:val="20"/>
          <w:szCs w:val="20"/>
          <w:color w:val="auto"/>
        </w:rPr>
      </w:pPr>
    </w:p>
    <w:p>
      <w:pPr>
        <w:ind w:left="660" w:right="14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improves patients’ quality of life by allowing them to receive infusion therapy at home or at one of its ambulatory infusion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99" w:lineRule="exact"/>
        <w:rPr>
          <w:rFonts w:ascii="Arial" w:cs="Arial" w:eastAsia="Arial" w:hAnsi="Arial"/>
          <w:sz w:val="18"/>
          <w:szCs w:val="18"/>
          <w:b w:val="1"/>
          <w:bCs w:val="1"/>
          <w:color w:val="auto"/>
        </w:rPr>
      </w:pPr>
    </w:p>
    <w:p>
      <w:pPr>
        <w:jc w:val="both"/>
        <w:ind w:left="660" w:right="42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payers with a comprehensive approach to meeting their pharmacy service needs and providing a cost-effective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99" w:lineRule="exact"/>
        <w:rPr>
          <w:rFonts w:ascii="Arial" w:cs="Arial" w:eastAsia="Arial" w:hAnsi="Arial"/>
          <w:sz w:val="18"/>
          <w:szCs w:val="18"/>
          <w:b w:val="1"/>
          <w:bCs w:val="1"/>
          <w:color w:val="auto"/>
        </w:rPr>
      </w:pPr>
    </w:p>
    <w:p>
      <w:pPr>
        <w:ind w:left="66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Physicians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physicians with timely patient clinical support by providing care management related to their patients’ pharmacy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and improving compliance with therapy protocols. The Company eliminates the need for physicians to carry inventories of high cost prescriptions by distributing the medications directly to patients’ homes. The Company either bills the payer directly or assists the patient in the submission of claims to the payer.</w:t>
      </w:r>
    </w:p>
    <w:p>
      <w:pPr>
        <w:spacing w:after="0" w:line="99" w:lineRule="exact"/>
        <w:rPr>
          <w:rFonts w:ascii="Arial" w:cs="Arial" w:eastAsia="Arial" w:hAnsi="Arial"/>
          <w:sz w:val="18"/>
          <w:szCs w:val="18"/>
          <w:b w:val="1"/>
          <w:bCs w:val="1"/>
          <w:color w:val="auto"/>
        </w:rPr>
      </w:pPr>
    </w:p>
    <w:p>
      <w:pPr>
        <w:ind w:left="660" w:right="180" w:hanging="328"/>
        <w:spacing w:after="0" w:line="261"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Pharmaceutical Manufacturers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collaborates with pharmaceutical manufacturers to provide a broad distribution channel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148"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Quality is at the core of the Company’s mission as it strives to deliver quality healthcare, leading to favorable outcomes and more cost-effective care. The Company offers comprehensive services that align with specific healthcare provider needs and has demonstrated success in improving outcomes across a broad range of therapies through improved clinical-reported patient adherence rates and decreased rates of un-planned hospital re-admissions.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Company’s commitment to continuous quality improvement to provide optimal outcomes for its patients is evidenced by its national accreditations, including accreditations from Accreditation Commission for Health Care (“ACHC”), Pharmacy Compounding Accreditation Board (“PCAB”), American Society of Health-System Pharmacists (“ASHP”) and Utilization Review Accreditation Commission (“URAC”).</w:t>
      </w:r>
    </w:p>
    <w:p>
      <w:pPr>
        <w:spacing w:after="0" w:line="10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ACHC accreditation is awarded to healthcare organizations that meet regulatory requirements and accreditation standards, and PCAB accreditation offers the most comprehensive compliance solution in the industry based on more than 40 sterile compounding standards in the U.S. Pharmacopeia Pharmaceutical Compounding - Sterile Preparations Standards (“USP 797”).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4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is the largest independent provider of home and alternate site infusion services. The Company’s services are most typically provided in the patient’s home, but may also be provided at clinics, the physician’s office or at one of its ambulatory infusion suites. The Company provides a broad therapy portfolio through its network of 115 full service pharmacies and 43 stand-alone ambulatory infusion suites. The Company’s home infusion services include medication and supplies for administration and use at home or within one of its ambulatory infusion suites, consultation and education regarding the patient’s condition and the prescribed medication nursing support, clinical monitoring and assistance in monitoring potential side effects, and assistance in obtaining reimbursement. The Company administers a wide variety of therapies and services, including the following:</w:t>
      </w:r>
    </w:p>
    <w:p>
      <w:pPr>
        <w:spacing w:after="0" w:line="97" w:lineRule="exact"/>
        <w:rPr>
          <w:sz w:val="20"/>
          <w:szCs w:val="20"/>
          <w:color w:val="auto"/>
        </w:rPr>
      </w:pPr>
    </w:p>
    <w:p>
      <w:pPr>
        <w:ind w:left="660" w:right="160" w:hanging="328"/>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Immunoglobulin Infusion. </w:t>
      </w:r>
      <w:r>
        <w:rPr>
          <w:rFonts w:ascii="Arial" w:cs="Arial" w:eastAsia="Arial" w:hAnsi="Arial"/>
          <w:sz w:val="18"/>
          <w:szCs w:val="18"/>
          <w:color w:val="auto"/>
        </w:rPr>
        <w:t>The Company offers industry-leading expertise, access, and support in immunoglobulin (“IG”) infusion therapy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treat immune deficiencies. Immune deficiencies are disorders that reduce the patient’s ability to identify and destroy substances that do not belong in the human body and are characterized by reduced levels of antibodies. Intravenous IG infusions are concentrated antibodies that have been purified from large numbers of human blood donors.</w:t>
      </w:r>
    </w:p>
    <w:p>
      <w:pPr>
        <w:spacing w:after="0" w:line="105" w:lineRule="exact"/>
        <w:rPr>
          <w:rFonts w:ascii="Arial" w:cs="Arial" w:eastAsia="Arial" w:hAnsi="Arial"/>
          <w:sz w:val="18"/>
          <w:szCs w:val="18"/>
          <w:b w:val="1"/>
          <w:bCs w:val="1"/>
          <w:color w:val="auto"/>
        </w:rPr>
      </w:pPr>
    </w:p>
    <w:p>
      <w:pPr>
        <w:ind w:left="660" w:right="340" w:hanging="328"/>
        <w:spacing w:after="0" w:line="342"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Anti-Infectives Infusion. </w:t>
      </w:r>
      <w:r>
        <w:rPr>
          <w:rFonts w:ascii="Arial" w:cs="Arial" w:eastAsia="Arial" w:hAnsi="Arial"/>
          <w:sz w:val="16"/>
          <w:szCs w:val="16"/>
          <w:color w:val="auto"/>
        </w:rPr>
        <w:t>The Company provides comprehensive home infusion services to combat serious infections in patients of all ages.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anti-infective therapy and services help avoid hospitalizations for many infections that can be safely treated at home.</w:t>
      </w:r>
    </w:p>
    <w:p>
      <w:pPr>
        <w:spacing w:after="0" w:line="42" w:lineRule="exact"/>
        <w:rPr>
          <w:rFonts w:ascii="Arial" w:cs="Arial" w:eastAsia="Arial" w:hAnsi="Arial"/>
          <w:sz w:val="16"/>
          <w:szCs w:val="16"/>
          <w:b w:val="1"/>
          <w:bCs w:val="1"/>
          <w:color w:val="auto"/>
        </w:rPr>
      </w:pPr>
    </w:p>
    <w:p>
      <w:pPr>
        <w:ind w:left="660" w:right="180" w:hanging="328"/>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Nutrition Support Infusion. </w:t>
      </w:r>
      <w:r>
        <w:rPr>
          <w:rFonts w:ascii="Arial" w:cs="Arial" w:eastAsia="Arial" w:hAnsi="Arial"/>
          <w:sz w:val="18"/>
          <w:szCs w:val="18"/>
          <w:color w:val="auto"/>
        </w:rPr>
        <w:t>The Company delivers comprehensive nutrition support across pediatric, adult, and geriatric patients.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 team provides home parenteral nutrition and enteral nutrition support for numerous acute and chronic conditions negatively affecting nutritional status, such as stroke, cancer, and gastrointestinal diseases.</w:t>
      </w:r>
    </w:p>
    <w:p>
      <w:pPr>
        <w:spacing w:after="0" w:line="100" w:lineRule="exact"/>
        <w:rPr>
          <w:rFonts w:ascii="Arial" w:cs="Arial" w:eastAsia="Arial" w:hAnsi="Arial"/>
          <w:sz w:val="18"/>
          <w:szCs w:val="18"/>
          <w:b w:val="1"/>
          <w:bCs w:val="1"/>
          <w:color w:val="auto"/>
        </w:rPr>
      </w:pPr>
    </w:p>
    <w:p>
      <w:pPr>
        <w:ind w:left="660" w:hanging="328"/>
        <w:spacing w:after="0" w:line="273"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Bleeding Disorders Infusion. </w:t>
      </w:r>
      <w:r>
        <w:rPr>
          <w:rFonts w:ascii="Arial" w:cs="Arial" w:eastAsia="Arial" w:hAnsi="Arial"/>
          <w:sz w:val="17"/>
          <w:szCs w:val="17"/>
          <w:color w:val="auto"/>
        </w:rPr>
        <w:t>As a leading provider of home infusion therapy for hemophilia and von Willebrand disease, the Company streamlines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administrative burdens associated with infusion therapies for bleeding disorders. The Company works with medical specialists across the country to offer access to all approved factor products, a full range of therapies, and dedicated support services. Hemophilia is one of the most costly diseases to treat. The treatment goal is to raise the level of the deficient clotting factor and maintain it to stop the bleeding. Treatments include infusion of the clotting factor products and other biologic prescription drugs. The length of treatment depends on the severity of the bleeding episode, and the need for treatment continues throughout the life of the patient.</w:t>
      </w:r>
    </w:p>
    <w:p>
      <w:pPr>
        <w:spacing w:after="0" w:line="97" w:lineRule="exact"/>
        <w:rPr>
          <w:rFonts w:ascii="Arial" w:cs="Arial" w:eastAsia="Arial" w:hAnsi="Arial"/>
          <w:sz w:val="17"/>
          <w:szCs w:val="17"/>
          <w:b w:val="1"/>
          <w:bCs w:val="1"/>
          <w:color w:val="auto"/>
        </w:rPr>
      </w:pPr>
    </w:p>
    <w:p>
      <w:pPr>
        <w:ind w:left="660" w:right="960" w:hanging="328"/>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Company offers a range of other infusion therapies to treat a variety of conditions, including heart failure, pain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chemotherapy and respiratory medication.</w:t>
      </w:r>
    </w:p>
    <w:p>
      <w:pPr>
        <w:spacing w:after="0" w:line="8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Company also provides nursing services to support the above therapies, comprised of its nursing team of approximately 1,300 employees, and through its network of sub-contracted nursing agencies.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The Company’s sales and marketing efforts focus on three primary objectives: (1) building new relationships and expanding existing contracts with managed care organizations; (2) establishing, maintaining and strengthening relationships with local and regional patient referral sources; and (3) establishing, maintaining existing and developing new relationships with pharmaceutical manufacturers to gain distribution access as they release new products.</w:t>
      </w:r>
    </w:p>
    <w:p>
      <w:pPr>
        <w:spacing w:after="0" w:line="10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sales structure is focused on maintaining and expanding its relationships with drug manufacturers to establish its position as a participating provider when they release new products. In addition, the Company’s sales structure allows it to leverage its national managed care relationships to provide sales and contract pull-through by the Company’s local field-based sales personnel. This cross-utility enables the Company to market its services to numerous sources of patient referrals, including physicians, hospital discharge planners, hospital personnel, Health Maintenance Organizations (“HMOs”) and Preferred Provider Organizations (“PPOs”).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competes in the large and highly fragmented home infusion market for contracts with managed care organizations and other third party payers to receive referrals from physicians, case managers and hospital discharge planners. Competition in the home infusion market is based on quality of care, clinical outcomes, pricing and cost of service, reputation, and reliability of service. Its competitors within the home infusion market include Coram CVS/specialty infusion services (a division of CVS Health), Accredo Health Group, Inc. (a unit of Cigna), Briova (a subsidiary of OptumRx, which is a unit of the United Healthcare Insurance Company) and various regional and local providers. The Company believes that its reputation for providing quality services, the strength of its growing national presence and its ability to effectively market its services at national, regional and local levels places it in a strong position against existing and potential competitors. The Company believes that the value created by the Merger has put the Company in a unique position to efficiently capture market share through its expanded footprint and synergies.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The Company owns a variety of trademarks, licenses, and service marks, including but not limited to: “Option Care Health”, “Option Care”, “Critical Care Systems”, “Clinical Specialties”, “BioScrip”, “BioScrip Infusion Services”, “BioScrip Nursing Services”, “BioScrip Pharmacy Services”, “CarePoint Partners”, “HomeChoice Partners”, “InfuScience”, “InfusionCare”, “Infusion Partners”, “Infusion Solutions”, “New England Home Therapies”, “Option Health”, “Professional Home Care Services”, “Wilcox Home Infusion”, “Home Solutions”, as well as several others.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4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purchases pharmaceuticals and medical supplies through pharmaceutical manufacturers, distributors and group purchasing organizations. Through the coverage and clinical expertise of its 115 full service pharmacies, the Company provides pharmaceutical manufacturers with a broad distribution channel for its existing pharmaceutical products. Many of the pharmaceuticals that the Company purchases are available from multiple sources and are available in sufficient quantities to meet its needs and the needs of its patients. However, some drugs are only available through the manufacturer and may be subject to limits on distribution. In such cases, it is important the Company establishes and maintains good working relations with the manufacturer to secure sufficient supply to meet its patients’ needs. Additionally, certain drugs may become subject to supply shortages. Such shortages can result in cost increases or hamper the Company’s ability to obtain sufficient quantities to meet the needs of its patients. The Company actively manages its relationships with direct manufacturers and distributors to ensure consistent supply and cost-effective procurement. These relationships provide the Company the opportunity to become a selected partner in the launch of their new products. The Company may receive fees, which it records as other revenue, from certain biotech manufacturers for providing them with clinical outcomes data. The Company’s continued growth will be dependent on maintaining its existing relationships with manufacturers and establishing new relationships with additional manufacturers as the Company launches new specialty products.</w:t>
      </w:r>
    </w:p>
    <w:p>
      <w:pPr>
        <w:spacing w:after="0" w:line="9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the year ended December 31, 2019, approximately 70% of the Company’s pharmaceutical and medical supply purchases are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106"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Through the purchasing power of its national platform, the Company is able to negotiate favorable terms and economics, including volume purchase rebates and vendor administration fees. Such fees are recorded as reductions to cost of revenue when the pharmaceuticals are delivered to the patient.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Billing &amp; Significant Payers</w:t>
      </w:r>
    </w:p>
    <w:p>
      <w:pPr>
        <w:spacing w:after="0" w:line="14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Company generates most of its revenue from contracts with third party payers, including managed care organizations, insurance companies, self-insured employers, Medicare, and Medicaid programs. Where permissible, the Company bills patients for any amounts not reimbursed by third party payers. The majority of the Company’s infusion pharmacy revenue consists of reimbursement for both the cost of the pharmaceuticals sold and the cost of services provided. Pharmaceuticals are typically reimbursed on a percentage discount from the published average wholesale price (“AWP”) of each drug or on a percentage premium to average sales price (“ASP”). Nursing services are typically billed separately, while other patient support services, such as pharmacy compounding service, delivery service and ancillary medical supplies are reimbursed either separately or on a per diem basis, where applicable.</w:t>
      </w:r>
    </w:p>
    <w:p>
      <w:pPr>
        <w:spacing w:after="0" w:line="84"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The Company’s largest payer is with United Health Group, which represented approximately 16% of its revenue for the year ended December 31, 2019. No other single payer represented more than 10% of its revenue. The Company also provides services that are reimbursable through government healthcare programs such as Medicare and state Medicaid programs. For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year ended December 31, 2019, approximately 12% of the Company’s revenue was directly reimbursable through governmental programs, such as Medicare and Medicaid.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4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home infusion industry is subject to extensive regulation by a number of federal, state and local governmental entities. The industry is also subject to frequent regulatory change. Laws and regulations in the healthcare industry are complex and, in many instances, the industry does not benefit from significant regulatory or judicial interpretation that would clarify how these laws and regulations should be applied. Moreover, the Company’s business is also impacted by certain laws and regulations that are applicable to its managed care and other clients. If the Company fails to comply with the laws and regulations directly applicable to its business, the Company could suffer civil and/or criminal penalties, and the Company could be excluded from participating in Medicare, Medicaid and other federal and state healthcare programs, which would have an adverse impact on its business.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w:t>
      </w:r>
    </w:p>
    <w:p>
      <w:pPr>
        <w:spacing w:after="0" w:line="144" w:lineRule="exact"/>
        <w:rPr>
          <w:sz w:val="20"/>
          <w:szCs w:val="20"/>
          <w:color w:val="auto"/>
        </w:rPr>
      </w:pPr>
    </w:p>
    <w:p>
      <w:pPr>
        <w:jc w:val="both"/>
        <w:ind w:right="380" w:firstLine="324"/>
        <w:spacing w:after="0" w:line="312" w:lineRule="auto"/>
        <w:rPr>
          <w:sz w:val="20"/>
          <w:szCs w:val="20"/>
          <w:color w:val="auto"/>
        </w:rPr>
      </w:pPr>
      <w:r>
        <w:rPr>
          <w:rFonts w:ascii="Arial" w:cs="Arial" w:eastAsia="Arial" w:hAnsi="Arial"/>
          <w:sz w:val="16"/>
          <w:szCs w:val="16"/>
          <w:color w:val="auto"/>
        </w:rPr>
        <w:t>Nurses, pharmacists and certain other healthcare professionals employed by the Company are required to be individually licensed or certified under applicable state law. The Company performs criminal and other background checks on employees and takes steps to ensure that its employees possess all necessary licenses and certifications, and the Company believes that its employees comply in all material respects with applicable licensure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Licensing and Registration</w:t>
      </w:r>
    </w:p>
    <w:p>
      <w:pPr>
        <w:spacing w:after="0" w:line="14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State laws require that each of its pharmacy locations be licensed as an in-state pharmacy to dispense pharmaceuticals in that state. Certain states also require that its pharmacy locations be licensed as an out-of-state pharmacy if the Company delivers prescription pharmaceuticals into those states from locations outside of the state. The Company believes that it materially complies with all applicable state licensing laws. If the Company is unable to maintain its licenses or if states place burdensome regulations on non-resident pharmacies, its ability to operate in some states would be limited, which could have an adverse impact on its business. Laws enforced by the Drug Enforcement Administration (“DEA”), as well as some similar state agencies, require its pharmacy locations to individually register in order to handle controlled substances, including prescription pharmaceuticals. A separate registration is required at each principal place of business where the Company dispenses controlled substances. Federal and state laws also require that the Company follow specific labeling, reporting and record-keeping requirements for controlled substances. The Company maintains federal and state controlled substance registrations for each of its facilities that require such registration and follows procedures intended to comply with all applicable federal and state requirements regarding controlled substances.</w:t>
      </w:r>
    </w:p>
    <w:p>
      <w:pPr>
        <w:spacing w:after="0" w:line="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Many states in which the Company operates also require home infusion companies to be licensed as home health agencies. The Company believes it is in compliance with these laws, as applicable.</w:t>
      </w:r>
    </w:p>
    <w:p>
      <w:pPr>
        <w:spacing w:after="0" w:line="8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believes that it materially complies with all applicable state licensing laws, including any applicable change of control requirements that may have triggered in connection with the Merger.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Affecting Drug Prices</w:t>
      </w:r>
    </w:p>
    <w:p>
      <w:pPr>
        <w:spacing w:after="0" w:line="144"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Pricing benchmarks in the pharmacy industry are periodically published by third parties such as First DataBank, Medi-Span, RJ Health, and CMS, and the benchmark reimbursement varies by payer contract. The most commonly used benchmarks are AWP and ASP. AWP is based on self-reported prices charged by wholesalers and manufacturers. Reimbursement is generally AWP minus a percentage and may include a per diem fee or a fixed dispensing fee. ASP is based on actual sales transactions reported by wholesalers, and is generally lower than AWP. Reimbursement is generally ASP plus a percentage. The Company may also receive a fixed dispensing fee or a per diem fee for each day a patient is on service. Changes to these pricing benchmarks may have a significant impact on the profitability of the Company’s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 Requirements</w:t>
      </w:r>
    </w:p>
    <w:p>
      <w:pPr>
        <w:spacing w:after="0" w:line="14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Health Insurance Portability and Accountability Act of 1996 (“HIPAA”) as amended by the Health Information Technology for Economic and Clinical Health Act (“HITECH”), and its implementing regulations regulate the use, disclosure, confidentiality, availability and integrity of individually identifiable health information, known as “protected health information,” and provide for a number of individual rights with respect to such information. The federal privacy regulations (the “Privacy Regulations”) are designed to protect health-related information that could be used to identify an individual’s protected health information.</w:t>
      </w:r>
    </w:p>
    <w:p>
      <w:pPr>
        <w:spacing w:after="0" w:line="107"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The requirements imposed by HIPAA are extensive, and the Company has taken and intends to continue to take steps to ensure its policies and procedures are in compliance with the applicable provisions.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44"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Food, Drug and Cosmetic Act. </w:t>
      </w:r>
      <w:r>
        <w:rPr>
          <w:rFonts w:ascii="Arial" w:cs="Arial" w:eastAsia="Arial" w:hAnsi="Arial"/>
          <w:sz w:val="18"/>
          <w:szCs w:val="18"/>
          <w:color w:val="auto"/>
        </w:rPr>
        <w:t>Certain provisions of the Food, Drug and Cosmetic Act (“FDCA”) govern the handling and distribution of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This law exempts many pharmaceuticals and medical devices from federal labeling and packaging requirements as long as they are not adulterated or misbranded and are dispensed in accordance with and pursuant to a valid prescription. The Company believes it complies with all applicable requirements. The FDCA also governs interstate commerce for pharmaceutical products. The Company cannot predict the impact of any proposed FDCA regulations on its ability to ship drugs to different states from its pharmacies.</w:t>
      </w:r>
    </w:p>
    <w:p>
      <w:pPr>
        <w:spacing w:after="0" w:line="10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Drug Quality and Security Act (“DQSA”) amended the FDCA to grant the Food and Drug Administration (“FDA”) authority to regulate the manufacturing of compounded pharmaceutical drugs. The Company complies with the PCAB and Accreditation Standards for Sterile and Non-Sterile Pharmacy Compounding, and aggressively pursues accreditation from quality associations. The Company believes it complies in all material respects with all applicable requirements of a non-outsourcing-facility pharmacy.</w:t>
      </w:r>
    </w:p>
    <w:p>
      <w:pPr>
        <w:spacing w:after="0" w:line="1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FDA also regulates certain medical devices, such as infusion pumps the Company uses to provide its services. In recent years, the FDA has increased its oversight of infusion pumps, resulting in additional requirements around patient education and adverse event reporting. The Company believes it complies in all material respects with all applicable requirements and that its employees have the level of proficiency required to use these devices and provide training to its patients.</w:t>
      </w:r>
    </w:p>
    <w:p>
      <w:pPr>
        <w:spacing w:after="0" w:line="10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i w:val="1"/>
          <w:iCs w:val="1"/>
          <w:color w:val="auto"/>
        </w:rPr>
        <w:t>Anti-Kickback Statute</w:t>
      </w:r>
      <w:r>
        <w:rPr>
          <w:rFonts w:ascii="Arial" w:cs="Arial" w:eastAsia="Arial" w:hAnsi="Arial"/>
          <w:sz w:val="16"/>
          <w:szCs w:val="16"/>
          <w:color w:val="auto"/>
        </w:rPr>
        <w:t>. The federal Anti-Kickback Statute prohibits individuals and entities from knowingly and willfully paying, offering, receiving, or</w:t>
      </w:r>
      <w:r>
        <w:rPr>
          <w:rFonts w:ascii="Arial" w:cs="Arial" w:eastAsia="Arial" w:hAnsi="Arial"/>
          <w:sz w:val="16"/>
          <w:szCs w:val="16"/>
          <w:i w:val="1"/>
          <w:iCs w:val="1"/>
          <w:color w:val="auto"/>
        </w:rPr>
        <w:t xml:space="preserve"> </w:t>
      </w:r>
      <w:r>
        <w:rPr>
          <w:rFonts w:ascii="Arial" w:cs="Arial" w:eastAsia="Arial" w:hAnsi="Arial"/>
          <w:sz w:val="16"/>
          <w:szCs w:val="16"/>
          <w:color w:val="auto"/>
        </w:rPr>
        <w:t>soliciting money or anything else of value in order to induce the referral of patients or to induce a person to purchase, lease, order, arrange for, or recommend services or goods covered by Medicare, Medicaid, or other government healthcare programs. The Anti-Kickback Statute is broad and potentially covers many standard business arrangements. A number of states also have statutes and regulations that prohibit the same general types of conduct as those prohibited by the Anti-Kickback Statute described above. Violations can lead to significant criminal or civil penalties, including imprisonment. The Office of the Inspector General (“OIG”) of the U.S. Department of Health and Human Services (“HHS”) has published clarifying regulations that identify a limited number of safe harbors from criminal enforcement or civil administrative actions. The Company attempts to structure its business relationships to comply with these statutes and to satisfy an applicable safe harbor where applicable. However, in situations where a business relationship does not fully satisfy the elements of a safe harbor, or where no safe harbor exists, the Company attempts to satisfy as many elements of an applicable safe harbor as possible.</w:t>
      </w:r>
    </w:p>
    <w:p>
      <w:pPr>
        <w:spacing w:after="0" w:line="8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False Claims Act</w:t>
      </w:r>
      <w:r>
        <w:rPr>
          <w:rFonts w:ascii="Arial" w:cs="Arial" w:eastAsia="Arial" w:hAnsi="Arial"/>
          <w:sz w:val="18"/>
          <w:szCs w:val="18"/>
          <w:color w:val="auto"/>
        </w:rPr>
        <w:t>. The Company is subject to state and federal laws that govern the submission of claims for reimbursement. These laws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prohibit an individual or entity from knowingly and willfully presenting a claim or causing a claim to be presented for payment from a federal healthcare program that is false or fraudulent. The standard for “knowing and willful” may include conduct that amounts to a reckless disregard for the accuracy of information presented to payers. Penalties under these statutes include substantial civil and criminal fines, exclusion from the Medicare or Medicaid programs and imprisonment. One of the most prominent of these laws is the federal False Claims Act, which may be enforced by the federal government directly or by a private plaintiff by filing a qui tam lawsuit on the government’s behalf. Under the False Claims Act, the government and private plaintiffs, if any, may recover monetary penalties in the amount of $5,500 to $11,000 per false claim, as well as an amount equal to three times the amount of damages sustained by the government as a result of the false claim. A number of states, including states in which the Company operates, have adopted their own false claims statutes as well as statutes that allow individuals to bring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The Company believes that it has procedures in place to ensure the accuracy of its claims.</w:t>
      </w:r>
    </w:p>
    <w:p>
      <w:pPr>
        <w:spacing w:after="0" w:line="1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Medicare Home Health CY 2020 Home Health Prospective Payment Systems Rate Update</w:t>
      </w:r>
      <w:r>
        <w:rPr>
          <w:rFonts w:ascii="Arial" w:cs="Arial" w:eastAsia="Arial" w:hAnsi="Arial"/>
          <w:sz w:val="18"/>
          <w:szCs w:val="18"/>
          <w:color w:val="auto"/>
        </w:rPr>
        <w:t>. On October 31, 2019, the Centers for Medicare &amp;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(“CMS”) issued a final rule that includes updates to payment policies, payment rates, and quality provisions for services. The final rule set forth routine updates to the home infusion therapy services for calendar year 2021 and subsequent years, and solicits comments on options to enhance future efforts to improve policies related to coverage of eligible drugs for home infusion therapy.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in Patient Referrals Law (Stark Law)</w:t>
      </w:r>
    </w:p>
    <w:p>
      <w:pPr>
        <w:spacing w:after="0" w:line="14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The Stark Law exempts certain business relationships that meet its exception requirements. However, unlike the Anti-Kickback Statute under which an activity may fall outside a safe harbor and still be lawful, a referral for certain Designated Health Services (“DHS”) that does not fall within an exception is strictly prohibited by the Stark Law. In addition to the Stark Law, many of the states in which the Company operates have comparable restrictions on the ability of physicians to refer patients for certain services to entities with which the Company has a financial relationship. Certain of these state statutes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mirror the Stark Law while others may be more restrictive. The Company attempts to structure all of its business relationships with physicians to comply with the Stark Law and any applicable state self-referral laws.</w:t>
      </w:r>
    </w:p>
    <w:p>
      <w:pPr>
        <w:spacing w:after="0" w:line="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federal Stark Law generally prohibits a physician from making referrals for certain DHS, reimbursable by Medicare or Medicaid, to entities with which the physician or an immediate family member has a financial relationship, unless an exception applies. A financial relationship is generally defined as an ownership, investment or compensation relationship. DHS includes outpatient pharmaceuticals, parenteral and enteral nutrition products, home health services, durable medical equipment, physical and occupational therapy services, and inpatient and outpatient hospital services. Among other sanctions, a civil monetary penalty may be imposed for each bill or claim for a service a person knows or should know is for a service for which payment may not be made due to the Stark Law. Such persons or entities are also subject to exclusion from the Medicare and Medicaid programs. Any person or entity participating in a circumvention scheme to avoid the referral prohibitions is liable for civil monetary penalties, and additional fines may be imposed for failure to comply with reporting requirements regarding an entity’s ownership, investment and compensation arrangements for each day for which reporting is required to have been made under the Stark Law.</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December 31, 2019, the Company employed 5,081 persons on a full-time basis and 822 persons on a part-time basis. The majority of its part-time employees are clinicians due to the nature and timing of the services the Company provides.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Company’s corporate headquarters is located at 3000 Lakeside Drive, Suite 300N, Bannockburn, IL 60015. The Company maintains a website at http://www.optioncarehealth.com. The information contained on our website is not incorporated by reference into this Annual Report and should not be considered part of this report. Our Annual Reports on Form 10-K, Quarterly Reports on Form 10-Q, Current Reports on Form 8-K, and our Proxy Statements are available through our website at https://investors.optioncarehealth.com/, free of charge, as soon as reasonably practicable after they are filed with or furnished to the SEC.</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issuers that file electronically with the SEC at www.sec.gov.</w:t>
      </w:r>
    </w:p>
    <w:p>
      <w:pPr>
        <w:spacing w:after="0" w:line="1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Investors should carefully consider the following risk factors.</w:t>
      </w:r>
    </w:p>
    <w:p>
      <w:pPr>
        <w:spacing w:after="0" w:line="1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Our revenue and profitability will decline if the pharmaceutical industry undergoes certain changes, including limiting or discontinuing research, development, production and marketing of the pharmaceuticals that are compatible with the services we provide.</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is highly dependent on the ability of pharmaceutical manufacturers to develop, supply and market pharmaceuticals that are compatible with the services we provide. Our revenue and profitability will decline if those companies were to sell pharmaceuticals directly to the public, fail to support existing pharmaceuticals or develop new pharmaceuticals with different administration requirements than our service offerings are currently equipped to handle. Our business could also be harmed if the pharmaceutical industry experiences any supply shortages, pharmaceutical recalls, changes in the FDA approval processes, or changes to how pharmaceutical manufacturers finance, promote or sell pharmaceutical products. A reduction in the supply of and market for pharmaceuticals that are compatible with the services we provide may have a material adverse effect on our financial condition and results of operations.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If we lose relationships with managed care organizations (“MCOs”) and other non-governmental third party payers, we could lose access to a significant number of patients and our revenue and profitability could decline.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highly dependent on reimbursement from MCOs, government programs such as Medicare and Medicaid and commercial insurers (collectively, “Third Party Payers”). For the year ended December 31, 2019, 87% of our revenue came from managed care organizations and other nongovernmental payers, including Medicare Advantage plans, Managed Medicaid plans, pharmacy benefit managers (“PBM’s”), and self-pay patients. Many payers seek to limit the number of providers that supply pharmaceuticals to their enrollees in order to build volume that justifies their discounted pricing. From time to time, payers with whom we have relationships require that we bid against our competitors to keep their business. As a result of this bidding process, we may not be retained, and even if we are retained, the prices at which we are able to retain the business may be reduced. The loss of a payer relationship could significantly reduce the number of patients we serve and have a material adverse effect on our revenue and net income, and a reduction in pricing could reduce our gross margins and net income.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The healthcare industry is highly competitive. We compete directly with national, regional and local healthcare providers. There are many other companies and individuals currently providing healthcare services that we provide, many of which have been in business longer and/or have substantially more resources. Other companies could enter the healthcare industry in the future and divert some or all of our business. We expect to continue to encounter competition in the future that could limit our ability to grow revenue and/or maintain acceptable pricing levels.</w:t>
      </w:r>
    </w:p>
    <w:p>
      <w:pPr>
        <w:spacing w:after="0" w:line="171"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Some of our competitors have vertically integrated business models with commercial payers, or are under common control with, or owned by, pharmaceutical wholesalers and distributors, managed care organizations,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these competitors with respect to certain pharmaceutical products.</w:t>
      </w:r>
    </w:p>
    <w:p>
      <w:pPr>
        <w:spacing w:after="0" w:line="1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Accountable Care Organizations (“ACOs”) and other clinical integration models may result in lower reimbursement rates. Some of our competitors may negotiate exclusivity provisions with managed care plans or otherwise interfere with the ability of managed care companies to contract with us. Increasing consolidation in the payer and supplier industries, including vertical integration efforts among insurers, providers, and suppliers, and cost-reduction strategies by large employer groups and their affiliates may limit our ability to negotiate favorable terms and conditions in our contracts and otherwise intensify competitive pressure. In addition, our competitive position could be adversely affected by any inability to obtain access to new biotech pharmaceutical products.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Delays in reimbursement may adversely affect our liquidity, cash flows and operating results.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 Party Payers and the inability to collect outstanding accounts receivable could have a material adverse effect on our liquidity, cash flows and operating results.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pricing pressures and other risks involved with Third Party Payers.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Competition to provide healthcare services, efforts by traditional Third Party Payers to contain or reduce healthcare costs, and the increasing influence of managed care payers such as health maintenance organizations, has resulted in reduced rates of reimbursement for home infusion and specialty pharmacy services. Changes in reimbursement policies of governmental Third Party Payers, including policies relating to Medicare, Medicaid and other federal and state funded programs, could reduce the amounts reimbursed to our customers for our products and, in turn, the amount these customers would be willing to pay for our products and services, or could directly reduce the amounts payable to us by such payers. Pricing pressures by Third Party Payers may continue, and these trends may adversely affect our business.</w:t>
      </w:r>
    </w:p>
    <w:p>
      <w:pPr>
        <w:spacing w:after="0" w:line="193"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Also, continued growth in managed care plans has pressured healthcare providers to find ways of becoming more cost competitive. MCOs have grown substantially in terms of the percentage of the population they cover and in terms of the portion of the healthcare economy they control. MCOs have continued to consolidate to enhance their ability to influence the delivery of healthcare services and to exert pressure to control healthcare costs. A rapid concentration of revenue derived from individual managed care payers could harm our business.</w:t>
      </w:r>
    </w:p>
    <w:p>
      <w:pPr>
        <w:spacing w:after="0" w:line="17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maintain relationships with existing patient referral sources, our business and consolidated financial condition, results of operations, and cash flows could be materially adversely affected.</w:t>
      </w:r>
    </w:p>
    <w:p>
      <w:pPr>
        <w:spacing w:after="0" w:line="170"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Our success depends on referrals from physicians, hospitals, and other sources in the communities we serve and on our ability to maintain good relationships with existing referral sources. Our referral sources are not contractually obligated to refer patients to us and may refer their patients to other providers. Our growth and profitability depends, in part, on our ability to establish and maintain close working relationships with these patient referral sources, and to increase awareness and acceptance of the benefits of home infusion by our referral sources and their patients. Our loss of, or failure to maintain, existing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relationships or our failure to develop new referral relationships could have a material adverse effect on our business and consolidated financial condition, results of operations, and cash flows.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industry pricing benchmarks could adversely affect our financial performance.</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Our contracts generally use certain published benchmarks to establish pricing for the reimbursement of prescription medications we dispense. These benchmarks include AWP, wholesale acquisition cost, and average manufacturer price. Many of our contracts utilize the AWP benchmark. Publication of the AWP benchmark was expected to cease in 2011 as a result of the settlement of class-action lawsuits brought against First DataBank and Medi-Span, third-party publishers of various pricing benchmarks. However, Medi-Span continues to publish the AWP benchmark and has indicated that it will continue to do so until a new benchmark is widely accepted. Several industry participants have explored establishing a new benchmark but there is not currently a viable generally accepted alternative to the AWP benchmark. Without a suitable pricing benchmark in place, many of our contracts will have to be modified and could potentially change the economic structure of our agreements.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Pending and future litigation could subject us to significant monetary damages and/or require us to change our business practices.</w:t>
      </w:r>
    </w:p>
    <w:p>
      <w:pPr>
        <w:spacing w:after="0" w:line="23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employ pharmacists, dieticians, nurses and other health care professionals. We are subject to liability for negligent acts, omissions, or injuries occurring at one of these clinics or caused by one of our employees. We are subject to risks relating to asserted claims, litigation and other proceedings in connection with our operations. We are or may face claims or become a party to a variety of legal actions that affect our business, including breach of contract actions, employment and employment discrimination-related suits, employee benefit claims, stockholder suits and other securities laws claims, and tort claims. Due to the nature of our business, we, through our employees and caregivers who provide services on our behalf, may be the subject of medical malpractice claims. A court could find these individuals should be considered our agents, and, as a result, we could be held liable for their acts or omissions.</w:t>
      </w:r>
    </w:p>
    <w:p>
      <w:pPr>
        <w:spacing w:after="0" w:line="16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may incur substantial expenses in defending such claims or litigation, regardless of merit, and such claims or litigation could result in a significant diversion of the efforts of our management personnel. Successful claims against us may result in monetary liability or a material disruption in the conduct of our business. Similarly, if we settle such legal proceedings, it may affect how we operate our business. See Item 3 for a description of material proceedings pending against us. We believe that these suits are without merit and, to the extent not already concluded, intend to contest them vigorously. However, an adverse outcome in one or more of these suits may have a material adverse effect on our consolidated results of operations, consolidated financial position, and/or consolidated cash flow from operations, or may require us to make material changes to our business practices.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liability claims for damages and other expenses that are not covered by insurance.</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a result of operating in the home infusion industry, our business entails an inherent risk of claims, losses and potential lawsuits alleging incidents involving our employees that are likely to occur in a patient’s home. We maintain professional liability insurance to provide coverage to us and our subsidiaries against these risks. A successful product or professional liability claim in excess of our insurance coverage could harm our consolidated financial statements. Various aspects of our business may subject us to litigation and liability for damages. For example, a prescription drug dispensing error could result in a patient receiving the wrong or incorrect amount of medication, leading to personal injury or death. Our business and consolidated financial statements could suffer if we pay damages or defense costs in connection with a claim that is outside the scope of any applicable contractual indemnity or insurance coverage.</w:t>
      </w:r>
    </w:p>
    <w:p>
      <w:pPr>
        <w:spacing w:after="0" w:line="18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Our insurance coverage also includes fire, property damage and general liability with varying limits. We cannot assure that the insurance we maintain will satisfy claims made against us or that insurance coverage will continue to be available to us at commercially reasonable rates, in adequate amounts or on satisfactory terms. Any claims made against us, regardless of their merit or eventual outcome, could damage our reputation and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Pressures relating to downturns in the economy could adversely affect our business and consolidated financial statements.</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Medicare and other federal and state payers account for a portion of our revenues. During economic downturns and periods of stagnant or slow economic growth, federal and state budgets are typically negatively affected, resulting in reduced reimbursements or delayed payments by the federal and state government health care coverage programs in which we participate, including Medicare, Medicaid, and other federal or state assistance plans. Government programs could also slow or temporarily suspend payments, negatively impacting our cash flow and increasing our working capital needs and interest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payments. We have seen, and believe we will continue to see, Medicare and state Medicaid programs institute measures aimed at controlling spending growth, including reductions in reimbursement rates.</w:t>
      </w:r>
    </w:p>
    <w:p>
      <w:pPr>
        <w:spacing w:after="0" w:line="1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Higher unemployment rates and significant employment layoffs and downsizings may lead to lower numbers of patients enrolled in employer-provided plans. Adverse economic conditions could also cause employers to stop offering, or limit, healthcare coverage, or modify program designs, shifting more costs to the individual and exposing us to greater credit risk from patients or the discontinuance of therapy.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strategic investments and strategic relationships involve certain risks.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may pursue acquisitions, strategic investments in, or strategic relationships with businesses and technologies. Acquisitions may entail numerous risks, including difficulties in assessing values for acquired businesses, intangible assets and technologies, difficulties in the assimilation of acquired operations and products, diversion of management’s attention from other business concerns, assumption of unknown material liabilities of acquired companies, amortization of acquired intangible assets which could reduce future reported earnings, and potential loss of clients or key employees of acquired companies. We may not be able to successfully fully integrate the operations, personnel, services or products that we have acquired or may acquire in the future. Strategic investments may also entail some of the risks described above. If these investments are unsuccessful, we may need to incur charges against earnings. We may also pursue a number of strategic relationships. These relationships and others we may enter into in the future may be important to our business and growth prospects. We may not be able to maintain these relationships or develop new strategic alliances.</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b w:val="1"/>
          <w:bCs w:val="1"/>
          <w:i w:val="1"/>
          <w:iCs w:val="1"/>
          <w:color w:val="auto"/>
        </w:rPr>
        <w:t>Changes in our relationships with pharmaceutical suppliers, including changes in drug availability or pricing, could adversely affect our business and financial results.</w:t>
      </w:r>
    </w:p>
    <w:p>
      <w:pPr>
        <w:spacing w:after="0" w:line="170" w:lineRule="exact"/>
        <w:rPr>
          <w:sz w:val="20"/>
          <w:szCs w:val="20"/>
          <w:color w:val="auto"/>
        </w:rPr>
      </w:pPr>
    </w:p>
    <w:p>
      <w:pPr>
        <w:jc w:val="both"/>
        <w:ind w:right="100" w:firstLine="324"/>
        <w:spacing w:after="0" w:line="257" w:lineRule="auto"/>
        <w:rPr>
          <w:sz w:val="20"/>
          <w:szCs w:val="20"/>
          <w:color w:val="auto"/>
        </w:rPr>
      </w:pPr>
      <w:r>
        <w:rPr>
          <w:rFonts w:ascii="Arial" w:cs="Arial" w:eastAsia="Arial" w:hAnsi="Arial"/>
          <w:sz w:val="18"/>
          <w:szCs w:val="18"/>
          <w:color w:val="auto"/>
        </w:rPr>
        <w:t>We have contractual relationships with pharmaceutical manufacturers to purchase the pharmaceuticals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loss of a manufacturer relationship, drug shortages or changes in pricing, could have an adverse effect on our business and financial results.</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Some pharmaceutical manufacturers attempt to limit the number of preferred distributors that may market certain of their pharmaceutical products. We cannot provide assurance that we will be selected and retained as a preferred distributor or can remain a preferred distributor to market these products. Although we believe we can effectively meet our suppliers’ requirements, we cannot provide assurance that we will be able to compete effectively with other providers to retain our position as a distributor of each of our core products. Adverse developments with respect to this trend could have a material adverse effect on our financial condition and results of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disruption in supply could adversely impact our business.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For the year ended December 31, 2019, approximately 70% of our pharmaceutical and medical supply purchases are from three vendors. Most of the pharmaceuticals that we purchase are available from multiple sources, and we believe they are available in sufficient quantities to meet our needs and the needs of our patients. We keep safety stock to ensure continuity of service for reasonable, but limited, periods of time. Should a supply disruption result in the inability to obtain especially high margin drugs and compound components necessary for patient care, our consolidated financial statements could be negatively impacted.</w:t>
      </w:r>
    </w:p>
    <w:p>
      <w:pPr>
        <w:spacing w:after="0" w:line="18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A shortage of qualified registered nursing staff, pharmacists and other professionals could adversely affect our ability to attract, train and retrain qualified personnel and could increase operating costs.</w:t>
      </w:r>
    </w:p>
    <w:p>
      <w:pPr>
        <w:spacing w:after="0" w:line="170"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Our business relies on our ability to attract and retain nursing staff, pharmacists and other professionals who possess the skills, experience and licenses necessary to meet the requirements of their job responsibilities. From time to time and particularly in recent years, there have been shortages of nursing staff, pharmacists and other professionals in certain local and regional markets. As a result, we are often required to compete for personnel with other healthcare systems and our competitors. Our ability to attract and retain personnel depends on several factors, including our ability to provide them with engaging assignments and competitive salaries and benefits. We may not be successful in any of these areas.</w:t>
      </w:r>
    </w:p>
    <w:p>
      <w:pPr>
        <w:spacing w:after="0" w:line="1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where labor shortages arise in markets in which we operate, we may face higher costs to attract personnel, and we may have to provide them with more attractive benefit packages than originally anticipated or are being paid in other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markets where such shortages do not exist at the time. In either case, such circumstances could cause our profitability to decline. Finally, if we expand our operations into geographic areas where healthcare providers historically have unionized or unionization occurs in our existing geographic areas, negotiating collective bargaining agreements may have a negative effect on our ability to timely and successfully recruit qualified personnel and on our financial results. If we are unable to attract and retain nursing staff, pharmacists and other professionals, the quality of our services may decline and we could lose patients and referral sources, which could have a material adverse effect on our business and consolidated financial condition, results of operations and cash flows.</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b w:val="1"/>
          <w:bCs w:val="1"/>
          <w:i w:val="1"/>
          <w:iCs w:val="1"/>
          <w:color w:val="auto"/>
        </w:rPr>
        <w:t>Introduction of new drugs or accelerated adoption of existing lower margin drugs could cause us to experience lower revenues and profitability when prescribers prescribe these drugs for their patients or they are mandated by Third Party Payers.</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pharmaceutical industry pipeline of new drugs includes many drugs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are added to a therapeutic class, thereby increasing price competition among competing manufacturer’s products in that therapeutic category. In such cases, manufacturers have the ability to increase drug acquisition costs or lower the selling price of replaced products. This could negatively impact our revenues and/or margins.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develop new services or adapt to changes and trends within the industry may adversely affect our business.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operate in a highly competitive environment. We develop new services from time to time to assist our clients. If we are unsuccessful in developing innovative services, our ability to attract new clients and retain existing clients may suffer.</w:t>
      </w:r>
    </w:p>
    <w:p>
      <w:pPr>
        <w:spacing w:after="0" w:line="17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Technology, including the ability to capture and report outcomes, is also an important component of our business as we continue to utilize new and better channels to communicate and interact with our clients, members and business partners. If our competitors are more successful than us in employing this technology, our ability to attract new clients, retain existing clients and operate efficiently may suffer. Any significant shifts in the structure of the healthcare products and services industry in general could alter the industry dynamics and adversely affect our ability to attract or retain clients. Our failure to anticipate or appropriately adapt to changes in the industry could negatively impact our competitive position and adversely affect our business and results of operations.</w:t>
      </w:r>
    </w:p>
    <w:p>
      <w:pPr>
        <w:spacing w:after="0" w:line="15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Cybersecurity risks could compromise our information and expose us to liability, which may harm our ability to operate effectively and may cause our business and reputation to suffer.</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Cybersecurity refers to the combination of technologies, processes and procedures established to protect information technology systems and data from unauthorized access, attack, or damage. We rely on our information systems to provide security for processing, transmission and storage of confidential information about our patients, customers and personnel, such as names, addresses and other individually identifiable information protected by HIPAA and other privacy laws. Cyber incidents can result from deliberate attacks or unintentional events. Cyber-attacks are increasingly more common, including in the health care industry. The regulatory environment surrounding information security and privacy is increasingly demanding, with the frequent imposition of new and changing requirements. Compliance with changes in privacy and information security laws and with rapidly evolving industry standards may result in our incurring significant expense due to increased investment in technology and the development of new operational processes.</w:t>
      </w:r>
    </w:p>
    <w:p>
      <w:pPr>
        <w:spacing w:after="0" w:line="167"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not experienced any known attacks on our information technology systems that compromised any confidential information. We maintain our information technology systems with safeguard protection against cyber-attacks including passive intrusion protection, firewalls and virus detection software. However, these safeguards do not ensure that a significant cyber-attack could not occur. Although we have taken steps to protect the security of our information systems and the data maintained in those systems, it is possible that our safety and security measures will not prevent the systems’ improper functioning or damage or the improper access or disclosure of personally identifiable information such as in the event of cyber-attacks.</w:t>
      </w:r>
    </w:p>
    <w:p>
      <w:pPr>
        <w:spacing w:after="0" w:line="15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Security breaches, including physical or electronic break-ins, computer viruses, attacks by hackers and similar breaches can create system disruptions or shutdowns or the unauthorized use or disclosure of confidential information.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the privacy or security rules under HIPAA or other similar federal or state laws protecting confidential personal information. In addition, a security breach of our information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systems could damage our reputation, subject us to liability claims or regulatory penalties for compromised personal information and could have a material adverse effect on our business, financial condition, and results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dependent on the services provided by third party information technology vendors.</w:t>
      </w:r>
    </w:p>
    <w:p>
      <w:pPr>
        <w:spacing w:after="0" w:line="225"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Our information technology infrastructure includes hosting services provided by third parties. While we believe these third parties are high-performing organizations with secure platforms and customary certifications, they could suffer a security breach or business interruption which in turn could impact our operations negatively. In addition, changes in pricing terms charged by our technology vendors may adversely affect our financial performance.</w:t>
      </w:r>
    </w:p>
    <w:p>
      <w:pPr>
        <w:spacing w:after="0" w:line="147"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b w:val="1"/>
          <w:bCs w:val="1"/>
          <w:i w:val="1"/>
          <w:iCs w:val="1"/>
          <w:color w:val="auto"/>
        </w:rPr>
        <w:t>Changes in future business conditions could cause business investments and/or recorded goodwill to become impaired, and our financial condition, and results of operations could suffer if there is an impairment of goodwill.</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acquisitions resulted in significant goodwill reported on our financial statements. Goodwill results when the purchase price exceeds the fair value of the net identifiable tangible and intangible assets acquired. We may not realize the full value of this goodwill. As such, we evaluate on at least an annual basis whether events and circumstances indicate that all or some of the carrying value of goodwill is no longer recoverable, in which case we would recognize the unrecoverable goodwill as a charge against our earnings. When evaluating goodwill for potential impairment, we compare the fair value of our reporting units to their respective carrying amounts. We estimate the fair value of our reporting units using the income approach. If the carrying amount of a reporting unit exceeds its estimated fair value, a goodwill impairment loss is recognized in an amount equal to the excess to the extent of the goodwill balance. The income approach requires us to estimate a number of factors for our reporting units, including projected future operating results, economic projections, anticipated future cash flows, and discount rates. The fair value determined using the income approach is then compared to marketplace fair value data from within a comparable industry grouping for reasonableness. Because of the significance of our goodwill, any future impairment could result in material non-cash charges to our results of operations, which could have an adverse effect on our financial condition and results of operations.</w:t>
      </w:r>
    </w:p>
    <w:p>
      <w:pPr>
        <w:spacing w:after="0" w:line="16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our financial reporting could have an adverse effect on our ability to report our financial results on a timely and accurate basis.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under the Securities Exchange Act of 1934 (the “Exchange Act”), and is required to evaluate the effectiveness of these controls and procedures on a periodic basis and publicly disclose the results of these evaluations and related matters in accordance with the requirements of Section 404 of the Sarbanes-Oxley Act of 2002. Effective internal control over financial reporting is necessary for us to provide reliable financial reports, to help mitigate the risk of fraud and to operate successfully. Any failure to implement and maintain effective internal controls could result in material weaknesses or material misstatements in our consolidated financial statements.</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If we fail to maintain effective internal control over financial reporting, or our independent registered public accounting firm is unable to provide us with an unqualified attestation report on our internal control, we may be required to take corrective measures or restate the affected historical financial statements. In addition, we may be subjected to investigations and/or sanctions by federal and state securities regulators, and/or civil lawsuits by security holders. Any of the foregoing could also cause investors to lose confidence in our reported financial information and in us and would likely result in a decline in the market price of our stock and in our ability to raise additional financing if needed in the future.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Acts of God such as major weather disturbances could disrupt our business.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operate in a network of prescribers, providers, patients and facilities that can be negatively impacted by local weather disturbances and other force majeure events. For example, in anticipation of major weather events, patients with impaired health may be moved to alternate sites. After a major weather event, availability of electricity, clean water and transportation can impact our ability to provide service in the home. Similarly, such events could impact key suppliers or vendors, disrupting the services or materials they provide us. In addition, acts of God and other force majeure events may cause a reduction in our business or increased costs, such as increased costs in our operations as we incur overtime charges or redirect services to other locations, delays in our ability to work with payers, hospitals, physicians and other strategic partners on new business initiatives, and disruption to referral patterns as patients are moved out of facilities affected by such events or are unable to return to sites of service in the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outbreak of a pandemic or epidemic disease could adversely affect our financial performance.</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An outbreak of a pandemic or epidemic disease could result in a general economic downturn, supply chain disruption, and/or a compromise in the ability of our clinicians to access patients, any of which, or a combination of which, could have a material adverse effect on our business and financial results.</w:t>
      </w:r>
    </w:p>
    <w:p>
      <w:pPr>
        <w:spacing w:after="0" w:line="43"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A significant change in, or noncompliance with, governmental regulations and other legal requirements could have a material adverse effect on our reputation and profitability</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operate in complex, highly regulated environments and could be materially and adversely affected by changes to applicable legal requirements including the related interpretations and enforcement practices, new legal requirements and/or any failure to comply with applicable regulations. Our home infusion and alternate site infusion businesses are subject to numerous federal, state and local regulations including licensing and other requirements for pharmacies and reimbursement arrangements.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federal and state statutes and regulations to which we are subject include, but are not limited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FDA and DEA; applicable governmental payer regulations, including those applicable to Medicare and Medicaid; data privacy and security laws, including HIPAA and its associated regulations; federal and state fraud and abuse laws, including, but not limited to, the anti-kickback statute and false claims laws; trade regulations, including those of the U.S. Federal Trade Commission (“FTC”); the U.S. Foreign Corrupt Practices Act (the “FCPA”) and similar anti-corruption laws in connection with the services provided by certain of our contractors; and the consumer protection and safety laws, including those of the Consumer Product Safety Commission.</w:t>
      </w:r>
    </w:p>
    <w:p>
      <w:pPr>
        <w:spacing w:after="0" w:line="1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are required to hold valid DEA and state-level licenses, meet various security and operating standards and comply with the federal and various state controlled substance acts and related regulations governing the sale, dispensing, disposal, holding and distribution of controlled substances. The DEA, FDA and state regulatory authorities have broad enforcement powers, including the ability to seize or recall products and impose significant criminal, civil and administrative sanctions for violations of these laws and regulations.</w:t>
      </w:r>
    </w:p>
    <w:p>
      <w:pPr>
        <w:spacing w:after="0" w:line="18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use, disclose and otherwise process personally identifiable information, including health information, making us subject to HIPAA and other federal and state privacy and security regulations and failure to comply with those regulations or to adequately secure the information we hold could result in significant liability or reputational harm and, in turn, have a material adverse effect on our patient base and revenue.</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are also governed by federal and state laws of general applicability, including laws regulating matters of working conditions, health and safety and equal employment opportunity and other labor and employment matters as well as employee benefit, competition and antitrust matters. In addition, we could have significant exposure if we are found to have infringed another party’s intellectual property rights.</w:t>
      </w:r>
    </w:p>
    <w:p>
      <w:pPr>
        <w:spacing w:after="0" w:line="18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Changes in laws, regulations and policies and the related interpretations and enforcement practices may alter the landscape in which we do business and may significantly affect our cost of doing business. The impact of new laws, regulations and policies and the related interpretations and enforcement practices generally cannot be predicted, and changes in applicable laws, regulations and policies and the related interpretations and enforcement practices may require extensive system and operational changes, be difficult to implement, increase our operating costs and require significant capital expenditures. Untimely compliance or noncompliance with applicable laws and regulations could result in the imposition of civil and criminal penalties that could adversely affect the continued operation of our businesses, including: suspension of payments from government programs; loss of required government certifications; loss of authorizations to participate in or exclusion from government programs, including the Medicare and Medicaid programs; loss of licenses; and significant fines or monetary penalties. Any failure to comply with applicable regulatory requirements could result in significant legal and financial exposure, damage our reputation, and have a material adverse effect on our business operations, financial condition and results of operations.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Affordable Care Act and other healthcare reform efforts could have a material adverse effect on our business.</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recent years, healthcare reform efforts at federal and state levels of government have resulted in sweeping changes to the delivery and funding of health care. The Affordable Care Act is the most prominent of these efforts. However, there is substantial uncertainty regarding its net effect and its future. The Affordable Care Act has been subject to legislative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regulatory changes and court challenges. Effective January 2019, Congress eliminated the financial penalty associated with the individual mandate to maintain health insurance coverage. Because the penalty associated with the individual mandate was eliminated, a federal court in Texas ruled in December 2018 that the entire Affordable Care Act was unconstitutional. However, the law remains in place pending appeal. It is impossible to predict the full impact of the Affordable Care Act and related regulations or the impact of its modification on our operations in light of the uncertainty regarding whether, when or how the law will be changed and what alternative reforms, such as single-payer proposals, may be enacted. Health reform efforts may adversely affect our customers, which may cause them to reduce or delay use of our products and services. As such, we cannot predict the impact of the Affordable Care Act on our business, operations or financial performance.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Federal actions and legislation may reduce reimbursement rates from governmental payers and adversely affect our results of operations.</w:t>
      </w:r>
    </w:p>
    <w:p>
      <w:pPr>
        <w:spacing w:after="0" w:line="24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recent years, Congress has passed legislation reducing payments to health care providers. The Budget Control Act of 2011, as amended, requires automatic spending reductions to reduce the federal deficit, including Medicare spending reductions of up to 2% per fiscal year that extend through 2027. The Center for Medicare &amp; Medicaid Services (“CMS”) began imposing a 2% reduction on Medicare claims on April 1, 2013. The Affordable Care Act provides for material reductions in the growth of Medicare program spending. More recently, the Cures Act significantly reduced the amount paid by Medicare for drug costs, while delaying the implementation of a clinical services payment, although Congress also passed a temporary transitional service payment that takes effect January 1, 2019. In addition, from time to time, CMS revises the reimbursement systems used to reimburse health care providers, which may result in reduced Medicare payments.</w:t>
      </w:r>
    </w:p>
    <w:p>
      <w:pPr>
        <w:spacing w:after="0" w:line="18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For the year ended December 31, 2019, 12% of our revenue is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1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likely will continue to result, in decreased spending, or decreased spending growth, for Medicaid programs and the Children’s Health Insurance Program in many states.</w:t>
      </w:r>
    </w:p>
    <w:p>
      <w:pPr>
        <w:spacing w:after="0" w:line="188"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In some cases, Third Party Payers rely on all or portions of Medicare payment systems to determine payment rates. Changes to government healthcare programs that reduce payments under these programs may negatively impact payments from Third Party Payers. Current or future healthcare reform and deficit reduction efforts, changes in other laws or regulations affecting government healthcare programs, changes in the administration of government healthcare programs and changes by Third Party Payers could have a material, adverse effect on our financial position and results of operations.</w:t>
      </w:r>
    </w:p>
    <w:p>
      <w:pPr>
        <w:spacing w:after="0" w:line="154"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b w:val="1"/>
          <w:bCs w:val="1"/>
          <w:i w:val="1"/>
          <w:iCs w:val="1"/>
          <w:color w:val="auto"/>
        </w:rPr>
        <w:t>We face periodic reviews and billing audits by governmental and private payers, and these audits could have adverse findings that may negatively impact our business.</w:t>
      </w:r>
    </w:p>
    <w:p>
      <w:pPr>
        <w:spacing w:after="0" w:line="170"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As a result of our participation in the Medicare and Medicaid programs, we are subject to various governmental reviews and audits to verify our compliance with these programs and applicable laws and regulations. We also are subject to audits under various government programs in which third party firms engaged by CMS conduct extensive reviews of claims data and medical and other records to identify potential improper payments under the Medicare program. Third Party Payers may also conduct audits. Disputes with payers can arise from these reviews. Payers can claim that payments based on certain billing practices or billing errors were made incorrectly. If billing errors are identified in the sample of reviewed claims, the billing error can be extrapolated to all claims filed which could result in a larger overpayment than originally identified in the sample of reviewed claims. Our costs to respond to and defend claims, reviews and audits may be significant and could have a material adverse effect on our business and consolidated financial condition, results of operations and cash flows. Moreover, an adverse claim, review or audit could result in:</w:t>
      </w:r>
    </w:p>
    <w:p>
      <w:pPr>
        <w:spacing w:after="0" w:line="179" w:lineRule="exact"/>
        <w:rPr>
          <w:sz w:val="20"/>
          <w:szCs w:val="20"/>
          <w:color w:val="auto"/>
        </w:rPr>
      </w:pPr>
    </w:p>
    <w:p>
      <w:pPr>
        <w:ind w:left="5620" w:right="1580" w:hanging="4964"/>
        <w:spacing w:after="0" w:line="528" w:lineRule="auto"/>
        <w:tabs>
          <w:tab w:leader="none" w:pos="97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required refunding or retroactive adjustment of amounts we have been paid by governmental payers or Third Party Payers; 16</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 or federal agencies imposing fines, penalties and other sanctions on us;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suspension or exclusion from the Medicare program, state programs, or one or more third party payer networks;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business and reputation in various markets.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results could have a material adverse effect on our business and consolidated financial condition, results of operations and cash flows.</w:t>
      </w:r>
    </w:p>
    <w:p>
      <w:pPr>
        <w:spacing w:after="0" w:line="23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b w:val="1"/>
          <w:bCs w:val="1"/>
          <w:i w:val="1"/>
          <w:iCs w:val="1"/>
          <w:color w:val="auto"/>
        </w:rPr>
        <w:t>If any of our pharmacies fail to comply with the conditions of participation in the Medicare program, that pharmacy could be terminated from Medicare, which could adversely affect our consolidated financial statements.</w:t>
      </w:r>
    </w:p>
    <w:p>
      <w:pPr>
        <w:spacing w:after="0" w:line="170"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Our pharmacies must comply with the extensive conditions of participation in the Medicare program. If a pharmacy fails to meet any of the Medicare supplier standards, that pharmacy could be terminated from the Medicare program. We respond in the ordinary course to deficiency notices issued by surveyors, and none of our pharmacies has ever been terminated from the Medicare program for failure to comply with the supplier standards. Any termination of one or more of our pharmacies from the Medicare program for failure to satisfy the Medicare supplier standards could adversely affect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cannot predict the impact of changing requirements on compounding pharmacies.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Compounding pharmacies are closely monitored by federal and state governmental agencies. We believe that our compounding is performed in safe environments and we have clinically appropriate policies and procedures in place. We only compound pursuant to a patient-specific prescription and do so in compliance with USP 797 standards. In 2013, Congress passed the DQSA, which creates a new category of compounding facilities called outsourcing facilities, which are regulated by the FDA. We do not believe that our current compounding practices qualify us as an outsourcing facility and therefore we continue to operate consistently with USP 797 standards and applicable state pharmacy laws. Should state regulators or the FDA disagree, or should our business practices change to qualify us as an outsourcing facility, there is a risk of regulatory action and/or increased resources required to comply with federal requirements imposed pursuant to the DQSA on outsourcing facilities that could significantly increase our costs or otherwise affect our results of operations. Furthermore, we cannot predict the overall impact of increased scrutiny on compounding pharmacies.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of December 31, 2019, we had $1,337.3 million of outstanding borrowings, including (i) $925.0 million under our First Lien Term Loan and (ii) $412.3 million under our Second Lien Notes. All obligations under the credit agreements and indenture governing these facilities and notes are secured by first-priority perfected security interests in substantially all of our assets and the assets of our subsidiaries, subject to permitted liens and other exceptions.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65"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Our indebtedness, the cash flow needed to satisfy our debt and the covenants contained in our credit agreement and indenture have important consequences, including but not limited to:</w:t>
      </w:r>
    </w:p>
    <w:p>
      <w:pPr>
        <w:spacing w:after="0" w:line="170" w:lineRule="exact"/>
        <w:rPr>
          <w:sz w:val="20"/>
          <w:szCs w:val="20"/>
          <w:color w:val="auto"/>
        </w:rPr>
      </w:pPr>
    </w:p>
    <w:p>
      <w:pPr>
        <w:ind w:left="580" w:hanging="248"/>
        <w:spacing w:after="0" w:line="25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incur additional indebtedness;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capitalize on significant business opportunities;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21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 Further, our credit agreements and indenture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term loan facility is also subject to mandatory prepayments in certain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circumstances and requires a prepayment of a certain percentage of our excess cash flow. This excess cash flow payment, and future required prepayments, will reduce our cash available for investment in our business.</w:t>
      </w:r>
    </w:p>
    <w:p>
      <w:pPr>
        <w:spacing w:after="0" w:line="17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66"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b w:val="1"/>
          <w:bCs w:val="1"/>
          <w:i w:val="1"/>
          <w:iCs w:val="1"/>
          <w:color w:val="auto"/>
        </w:rPr>
        <w:t>Despite our substantial indebtedness, we may still need to incur significantly more debt. This could exacerbate the risks associated with our substantial leverage.</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need to incur substantial additional indebtedness, including additional secured indebtedness, in the future, in connection with future acquisitions, strategic investments and strategic relationships. Although the financing documents governing our indebtedness contain covenants and restrictions on the incurrence of additional debt, these restrictions are subject to a number of qualifications and exceptions and, under certain circumstances, debt incurred in compliance with these restrictions, including secured debt, could be substantial. Adding additional debt to current debt levels could exacerbate the leverage-related risks described above.</w:t>
      </w:r>
    </w:p>
    <w:p>
      <w:pPr>
        <w:spacing w:after="0" w:line="188"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8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flows and resources, we could face substantial liquidity problems and might be required to sell material assets or operations to attempt to meet our debt service obligations. The financing documents governing our First Lien Term Loan, our ABL Facility and our Second Lien Notes restrict our ability to conduct asset sales and/or use the proceeds from asset sales.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transition from the London Interbank Offered Rate (“LIBOR”) could negatively affect our interest rates and results of operations.</w:t>
      </w:r>
    </w:p>
    <w:p>
      <w:pPr>
        <w:spacing w:after="0" w:line="23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2017, the U.K. Financial Conduct Authority announced that it intends to phase out LIBOR by the end of 2021. In addition, other regulators have suggested reforming or replacing other benchmark rates. The discontinuation, reform, or replacement of LIBOR or any other benchmark rates may result in fluctuating interest rates that may have a negative impact on our interest expense and our profitability.</w:t>
      </w:r>
    </w:p>
    <w:p>
      <w:pPr>
        <w:spacing w:after="0" w:line="181"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Continuing to combine businesses between BioScrip and Option Care may be more difficult, costly or time-consuming than expected and the anticipated benefits and cost savings of the Merger may not continue to be realized.</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continuing success of the Merger, including anticipated benefits and cost savings, depend, in part, on our ability to successfully combine and integrate both businesses.</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Integration of the businesses following the Merger is a complex, costly and time-consuming process. If we experience difficulties with the continued integration process, the anticipated benefits of the Merger may not continue to be realized fully or at all, or may take longer to realize than expected. These integration matters could have an adverse effect for 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undetermined period after completion of the Merger. In addition, the actual cost savings of the Merger could be less than anticipated.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results may be adversely impacted if we do not effectively manage our expanded operations.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Following the completion of the Merger, the size of our combined business is significantly larger than the size of either Option Care or BioScrip’s respective businesses prior to the Merger. Our ability to successfully manage this expanded business depends, in part, upon management’s ability to manage the integration of two discrete companies, as well as the increased scale and scope of the combined business with its associated increased costs and complexity. There can be no assurances that we will be successful or that we will realize the expected operating efficiencies, cost savings and other benefits currently anticipated from the Merger.</w:t>
      </w:r>
    </w:p>
    <w:p>
      <w:pPr>
        <w:spacing w:after="0" w:line="188"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b w:val="1"/>
          <w:bCs w:val="1"/>
          <w:i w:val="1"/>
          <w:iCs w:val="1"/>
          <w:color w:val="auto"/>
        </w:rPr>
        <w:t>We are a “controlled company” within the meaning of the rules of Nasdaq and, as a result, qualify for and rely on, exemptions from certain corporate governance standards, which limit the presence of independent directors on our board of directors or board committees.</w:t>
      </w:r>
    </w:p>
    <w:p>
      <w:pPr>
        <w:spacing w:after="0" w:line="12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Following the Merger, approximately 81% of the outstanding shares of our common stock is held by HC Group Holdings I, LLC. As a result, we are a “controlled company” for purposes of the Nasdaq listing rules and are exempt from certain governance requirements otherwise required by Nasdaq, including requirements that:</w:t>
      </w:r>
    </w:p>
    <w:p>
      <w:pPr>
        <w:spacing w:after="0" w:line="181"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w:t>
      </w:r>
    </w:p>
    <w:p>
      <w:pPr>
        <w:spacing w:after="0" w:line="23" w:lineRule="exact"/>
        <w:rPr>
          <w:rFonts w:ascii="Arial" w:cs="Arial" w:eastAsia="Arial" w:hAnsi="Arial"/>
          <w:sz w:val="18"/>
          <w:szCs w:val="18"/>
          <w:color w:val="auto"/>
        </w:rPr>
      </w:pPr>
    </w:p>
    <w:p>
      <w:pPr>
        <w:ind w:left="1300" w:right="54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that is composed entirely of independent directors with a written charter addressing the committee's purpose and responsibilities;</w:t>
      </w:r>
    </w:p>
    <w:p>
      <w:pPr>
        <w:ind w:left="1300" w:right="280" w:hanging="320"/>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compensation committee that is composed entirely of independent directors with a written charter addressing the committee's purpose and responsibilities;</w:t>
      </w: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conduct annual performance evaluation of the nominating and corporate governance and compensation committees.</w:t>
      </w:r>
    </w:p>
    <w:p>
      <w:pPr>
        <w:spacing w:after="0" w:line="211"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color w:val="auto"/>
        </w:rPr>
        <w:t>Accordingly, you will not have the same protections afforded to stockholders of companies that are subject to all of the corporate governance requirements of the Nasdaq.</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shares of our common stock issued in the Merger to HC Group Holdings I, LLC as Merger consideration, or approximately 81% of the outstanding shares of our common stock as of December 31, 2019, are generally eligible for resale subject to a 12-month lockup period beginning on the Merger Date. The market price of our common stock could decline as a result of sales of a large number of shares of our common stock in the market after the expiration of the lockup period or even the perception that these sales could occur.</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b w:val="1"/>
          <w:bCs w:val="1"/>
          <w:i w:val="1"/>
          <w:iCs w:val="1"/>
          <w:color w:val="auto"/>
        </w:rPr>
        <w:t>As of December 31, 2019, Madison Dearborn Partners is our largest stockholder, controlling approximately 81% of our common stock, and has the ability to exercise significant influence over decisions requiring our stockholders’ approval.</w:t>
      </w:r>
    </w:p>
    <w:p>
      <w:pPr>
        <w:spacing w:after="0" w:line="170"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As of December 31, 2019, Madison Dearborn Partners controls approximately 81% of our common stock through its control of HC Group Holding I, LLC, with an economic interest in approximately 39% of our common stock. As a result, Madison Dearborn Partners has the ability to exercise significant influence over decisions requiring approval of our stockholders including the election of directors, amendments to our certificate of incorporation and approval of significant corporate transactions, such as a Merger or other sale of us or our assets.</w:t>
      </w:r>
    </w:p>
    <w:p>
      <w:pPr>
        <w:spacing w:after="0" w:line="17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This concentration of ownership may have the effect of delaying, preventing or deterring a change in control of us and may negatively affect the market price of our common stock. Also, Madison Dearborn Partners is in the business of making investments in companies and may from time to time acquire and hold interests in businesses that compete with us. Madison Dearborn Partners or its affiliates may also pursue acquisition opportunities that are complementary to our business and, as a result, those acquisition opportunities may not be available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2" w:right="27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170"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addition to HC Group Holding I, LLC’s beneficial ownership of approximately 81% of our common stock, our third amended and restated certificate of incorporation contains provisions that could make it more difficult for a third party to acquire us, even if doing so might be beneficial to our stockholders. Among other things:</w:t>
      </w:r>
    </w:p>
    <w:p>
      <w:pPr>
        <w:spacing w:after="0" w:line="181" w:lineRule="exact"/>
        <w:rPr>
          <w:sz w:val="20"/>
          <w:szCs w:val="20"/>
          <w:color w:val="auto"/>
        </w:rPr>
      </w:pPr>
    </w:p>
    <w:p>
      <w:pPr>
        <w:jc w:val="both"/>
        <w:ind w:left="1300" w:right="40" w:hanging="320"/>
        <w:spacing w:after="0" w:line="25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provisions 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ind w:left="1300" w:right="340" w:hanging="320"/>
        <w:spacing w:after="0" w:line="281"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provisions provide that, at any time when HC Group Holdings I, LLC beneficially owns, in the aggregate, less than 50% in voting power of our stock entitled to vote generally in the election of directors, directors may be removed with or without cause only by the affirmative vote of holders of at least 66 2⁄3% in voting power of all the then-outstanding vote thereon, voting together as a single class;</w:t>
      </w:r>
    </w:p>
    <w:p>
      <w:pPr>
        <w:spacing w:after="0" w:line="2" w:lineRule="exact"/>
        <w:rPr>
          <w:rFonts w:ascii="Arial" w:cs="Arial" w:eastAsia="Arial" w:hAnsi="Arial"/>
          <w:sz w:val="16"/>
          <w:szCs w:val="16"/>
          <w:color w:val="auto"/>
        </w:rPr>
      </w:pPr>
    </w:p>
    <w:p>
      <w:pPr>
        <w:ind w:left="1300" w:right="340" w:hanging="320"/>
        <w:spacing w:after="0" w:line="281"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provisions prohibit stockholder action by written consent from and after the date on which HC Group Holding I, LLC beneficially owns, in the aggregate, less than 50% in voting power of our stock entitled to vote generally in the election of directors; and</w:t>
      </w:r>
    </w:p>
    <w:p>
      <w:pPr>
        <w:spacing w:after="0" w:line="1" w:lineRule="exact"/>
        <w:rPr>
          <w:rFonts w:ascii="Arial" w:cs="Arial" w:eastAsia="Arial" w:hAnsi="Arial"/>
          <w:sz w:val="16"/>
          <w:szCs w:val="16"/>
          <w:color w:val="auto"/>
        </w:rPr>
      </w:pPr>
    </w:p>
    <w:p>
      <w:pPr>
        <w:ind w:left="1300" w:hanging="320"/>
        <w:spacing w:after="0" w:line="269"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these provisions provide that for as long as HC Group Holdings I, LLC beneficially owns, in the aggregate, 50% or more in voting power of our stock entitled to vote generally in the election of directors, any amendment, alteration, rescission or repeal of our bylaws or certificate of incorporation by our stockholders will require the affirmative vote of at least a majority in voting power of the outstanding shares of our stock and at any time when HC Group Holdings I, LLC beneficially owns, in the aggregate, less than 50% in voting power of all outstanding shares of our stock entitled to vote generally in the election of directors, any amendment, alteration, rescission or repeal of our bylaws or certificate of incorporation by our stockholders will require the affirmative vote of the holders of at least 66 2⁄3% in voting power of all the then-outstanding shares of our stock entitled to vote thereon, voting together as a single class.</w:t>
      </w:r>
    </w:p>
    <w:p>
      <w:pPr>
        <w:spacing w:after="0" w:line="181"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shareholders or potential acquirers to obtain control of our Board or initiate actions that are opposed by our then-current Board, including delay or impede a merger, tender offer or proxy contest involving our company. The existence of these provisions could negatively affect the price of our common stock and limit opportunities to realize value in a corporate transaction.</w:t>
      </w:r>
    </w:p>
    <w:p>
      <w:pPr>
        <w:spacing w:after="0" w:line="187"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Moreover, Section 203 of the General Corporation Law of the State of Delaware (“DGCL”) may discourage, delay, or prevent a change of control of our company. Section 203 imposes certain restrictions on mergers, business combinations, and other transactions between us and holders of 15% or more of our common stock.</w:t>
      </w:r>
    </w:p>
    <w:p>
      <w:pPr>
        <w:spacing w:after="0" w:line="18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b w:val="1"/>
          <w:bCs w:val="1"/>
          <w:i w:val="1"/>
          <w:iCs w:val="1"/>
          <w:color w:val="auto"/>
        </w:rPr>
        <w:t>Our third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81"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Pursuant to our third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employees and stockholders to us or our stockholders, (3) any action asserting a claim against us arising pursuant to any provision of the DGCL or as to which the DGCL confers jurisdiction on the Court of Chancery of the State of Delaware, our third amended and restated certificate of incorporation or our bylaws or (4)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Exchange Act or any other claim for which the federal courts have exclusive jurisdiction. Our third amended and restated certificate of incorporation will further provide that any person or entity purchasing or otherwise acquiring any interest in shares of our capital stock is deemed to have notice of and consented to the provisions of our certificate of incorporation described above. The forum selection clause in our third amended and restated certificate of incorporation may have the effect of discouraging lawsuits against us or our directors and officers and may limit our stockholders’ ability to obtain a favorable judicial forum for disputes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third amended and restated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discouraging bids for our common stock at a premium to the market price, and materially adversely affect the market price and the voting and other rights of the holders of our common stock.</w:t>
      </w:r>
    </w:p>
    <w:p>
      <w:pPr>
        <w:spacing w:after="0" w:line="18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89"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We currently lease all of our properties from third parties under various lease terms expiring over periods extending through 2029, in addition to a number of non-material, month-to-month leases. Our corporate headquarters are located at 3000 Lakeside Drive, Suite 300N, Bannockburn, IL 60015. Our other properties mainly consist of infusion pharmacies equipped with clean room and compounding capabilities. Some infusion pharmacies are co-located with an ambulatory infusion center where patients receive infusion treatments. As of December 31, 2019 our material property locations, consisting of our pharmacies, all in support of our infusion services business, were as follows: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Birmingham, AL</w:t>
            </w:r>
          </w:p>
        </w:tc>
        <w:tc>
          <w:tcPr>
            <w:tcW w:w="2780" w:type="dxa"/>
            <w:vAlign w:val="bottom"/>
          </w:tcPr>
          <w:p>
            <w:pPr>
              <w:ind w:left="520"/>
              <w:spacing w:after="0"/>
              <w:rPr>
                <w:sz w:val="20"/>
                <w:szCs w:val="20"/>
                <w:color w:val="auto"/>
              </w:rPr>
            </w:pPr>
            <w:r>
              <w:rPr>
                <w:rFonts w:ascii="Arial" w:cs="Arial" w:eastAsia="Arial" w:hAnsi="Arial"/>
                <w:sz w:val="18"/>
                <w:szCs w:val="18"/>
                <w:color w:val="auto"/>
              </w:rPr>
              <w:t>Augusta, GA</w:t>
            </w:r>
          </w:p>
        </w:tc>
        <w:tc>
          <w:tcPr>
            <w:tcW w:w="2740" w:type="dxa"/>
            <w:vAlign w:val="bottom"/>
          </w:tcPr>
          <w:p>
            <w:pPr>
              <w:ind w:left="580"/>
              <w:spacing w:after="0"/>
              <w:rPr>
                <w:sz w:val="20"/>
                <w:szCs w:val="20"/>
                <w:color w:val="auto"/>
              </w:rPr>
            </w:pPr>
            <w:r>
              <w:rPr>
                <w:rFonts w:ascii="Arial" w:cs="Arial" w:eastAsia="Arial" w:hAnsi="Arial"/>
                <w:sz w:val="18"/>
                <w:szCs w:val="18"/>
                <w:color w:val="auto"/>
              </w:rPr>
              <w:t>Bozeman, MT</w:t>
            </w:r>
          </w:p>
        </w:tc>
        <w:tc>
          <w:tcPr>
            <w:tcW w:w="2340" w:type="dxa"/>
            <w:vAlign w:val="bottom"/>
          </w:tcPr>
          <w:p>
            <w:pPr>
              <w:ind w:left="700"/>
              <w:spacing w:after="0"/>
              <w:rPr>
                <w:sz w:val="20"/>
                <w:szCs w:val="20"/>
                <w:color w:val="auto"/>
              </w:rPr>
            </w:pPr>
            <w:r>
              <w:rPr>
                <w:rFonts w:ascii="Arial" w:cs="Arial" w:eastAsia="Arial" w:hAnsi="Arial"/>
                <w:sz w:val="18"/>
                <w:szCs w:val="18"/>
                <w:color w:val="auto"/>
                <w:w w:val="90"/>
              </w:rPr>
              <w:t>Plymouth Meeting, PA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Hoover, AL</w:t>
            </w:r>
          </w:p>
        </w:tc>
        <w:tc>
          <w:tcPr>
            <w:tcW w:w="2780" w:type="dxa"/>
            <w:vAlign w:val="bottom"/>
          </w:tcPr>
          <w:p>
            <w:pPr>
              <w:ind w:left="520"/>
              <w:spacing w:after="0"/>
              <w:rPr>
                <w:sz w:val="20"/>
                <w:szCs w:val="20"/>
                <w:color w:val="auto"/>
              </w:rPr>
            </w:pPr>
            <w:r>
              <w:rPr>
                <w:rFonts w:ascii="Arial" w:cs="Arial" w:eastAsia="Arial" w:hAnsi="Arial"/>
                <w:sz w:val="18"/>
                <w:szCs w:val="18"/>
                <w:color w:val="auto"/>
              </w:rPr>
              <w:t>Peachtree Corners, GA</w:t>
            </w:r>
          </w:p>
        </w:tc>
        <w:tc>
          <w:tcPr>
            <w:tcW w:w="2740" w:type="dxa"/>
            <w:vAlign w:val="bottom"/>
          </w:tcPr>
          <w:p>
            <w:pPr>
              <w:ind w:left="580"/>
              <w:spacing w:after="0"/>
              <w:rPr>
                <w:sz w:val="20"/>
                <w:szCs w:val="20"/>
                <w:color w:val="auto"/>
              </w:rPr>
            </w:pPr>
            <w:r>
              <w:rPr>
                <w:rFonts w:ascii="Arial" w:cs="Arial" w:eastAsia="Arial" w:hAnsi="Arial"/>
                <w:sz w:val="18"/>
                <w:szCs w:val="18"/>
                <w:color w:val="auto"/>
              </w:rPr>
              <w:t>Charlotte, NC</w:t>
            </w:r>
          </w:p>
        </w:tc>
        <w:tc>
          <w:tcPr>
            <w:tcW w:w="2340" w:type="dxa"/>
            <w:vAlign w:val="bottom"/>
          </w:tcPr>
          <w:p>
            <w:pPr>
              <w:ind w:left="700"/>
              <w:spacing w:after="0"/>
              <w:rPr>
                <w:sz w:val="20"/>
                <w:szCs w:val="20"/>
                <w:color w:val="auto"/>
              </w:rPr>
            </w:pPr>
            <w:r>
              <w:rPr>
                <w:rFonts w:ascii="Arial" w:cs="Arial" w:eastAsia="Arial" w:hAnsi="Arial"/>
                <w:sz w:val="18"/>
                <w:szCs w:val="18"/>
                <w:color w:val="auto"/>
              </w:rPr>
              <w:t>York, PA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Mobile, AL</w:t>
            </w:r>
          </w:p>
        </w:tc>
        <w:tc>
          <w:tcPr>
            <w:tcW w:w="2780" w:type="dxa"/>
            <w:vAlign w:val="bottom"/>
          </w:tcPr>
          <w:p>
            <w:pPr>
              <w:ind w:left="520"/>
              <w:spacing w:after="0"/>
              <w:rPr>
                <w:sz w:val="20"/>
                <w:szCs w:val="20"/>
                <w:color w:val="auto"/>
              </w:rPr>
            </w:pPr>
            <w:r>
              <w:rPr>
                <w:rFonts w:ascii="Arial" w:cs="Arial" w:eastAsia="Arial" w:hAnsi="Arial"/>
                <w:sz w:val="18"/>
                <w:szCs w:val="18"/>
                <w:color w:val="auto"/>
              </w:rPr>
              <w:t>Savannah, GA</w:t>
            </w:r>
          </w:p>
        </w:tc>
        <w:tc>
          <w:tcPr>
            <w:tcW w:w="2740" w:type="dxa"/>
            <w:vAlign w:val="bottom"/>
          </w:tcPr>
          <w:p>
            <w:pPr>
              <w:ind w:left="580"/>
              <w:spacing w:after="0"/>
              <w:rPr>
                <w:sz w:val="20"/>
                <w:szCs w:val="20"/>
                <w:color w:val="auto"/>
              </w:rPr>
            </w:pPr>
            <w:r>
              <w:rPr>
                <w:rFonts w:ascii="Arial" w:cs="Arial" w:eastAsia="Arial" w:hAnsi="Arial"/>
                <w:sz w:val="18"/>
                <w:szCs w:val="18"/>
                <w:color w:val="auto"/>
              </w:rPr>
              <w:t>Fayetteville, NC</w:t>
            </w:r>
          </w:p>
        </w:tc>
        <w:tc>
          <w:tcPr>
            <w:tcW w:w="2340" w:type="dxa"/>
            <w:vAlign w:val="bottom"/>
          </w:tcPr>
          <w:p>
            <w:pPr>
              <w:ind w:left="700"/>
              <w:spacing w:after="0"/>
              <w:rPr>
                <w:sz w:val="20"/>
                <w:szCs w:val="20"/>
                <w:color w:val="auto"/>
              </w:rPr>
            </w:pPr>
            <w:r>
              <w:rPr>
                <w:rFonts w:ascii="Arial" w:cs="Arial" w:eastAsia="Arial" w:hAnsi="Arial"/>
                <w:sz w:val="18"/>
                <w:szCs w:val="18"/>
                <w:color w:val="auto"/>
              </w:rPr>
              <w:t>Cranston, RI</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Jonesboro, AR</w:t>
            </w:r>
          </w:p>
        </w:tc>
        <w:tc>
          <w:tcPr>
            <w:tcW w:w="2780" w:type="dxa"/>
            <w:vAlign w:val="bottom"/>
          </w:tcPr>
          <w:p>
            <w:pPr>
              <w:ind w:left="520"/>
              <w:spacing w:after="0"/>
              <w:rPr>
                <w:sz w:val="20"/>
                <w:szCs w:val="20"/>
                <w:color w:val="auto"/>
              </w:rPr>
            </w:pPr>
            <w:r>
              <w:rPr>
                <w:rFonts w:ascii="Arial" w:cs="Arial" w:eastAsia="Arial" w:hAnsi="Arial"/>
                <w:sz w:val="18"/>
                <w:szCs w:val="18"/>
                <w:color w:val="auto"/>
              </w:rPr>
              <w:t>Honolulu, HI</w:t>
            </w:r>
          </w:p>
        </w:tc>
        <w:tc>
          <w:tcPr>
            <w:tcW w:w="2740" w:type="dxa"/>
            <w:vAlign w:val="bottom"/>
          </w:tcPr>
          <w:p>
            <w:pPr>
              <w:ind w:left="580"/>
              <w:spacing w:after="0"/>
              <w:rPr>
                <w:sz w:val="20"/>
                <w:szCs w:val="20"/>
                <w:color w:val="auto"/>
              </w:rPr>
            </w:pPr>
            <w:r>
              <w:rPr>
                <w:rFonts w:ascii="Arial" w:cs="Arial" w:eastAsia="Arial" w:hAnsi="Arial"/>
                <w:sz w:val="18"/>
                <w:szCs w:val="18"/>
                <w:color w:val="auto"/>
              </w:rPr>
              <w:t>Morrisville, NC</w:t>
            </w:r>
          </w:p>
        </w:tc>
        <w:tc>
          <w:tcPr>
            <w:tcW w:w="2340" w:type="dxa"/>
            <w:vAlign w:val="bottom"/>
          </w:tcPr>
          <w:p>
            <w:pPr>
              <w:ind w:left="700"/>
              <w:spacing w:after="0"/>
              <w:rPr>
                <w:sz w:val="20"/>
                <w:szCs w:val="20"/>
                <w:color w:val="auto"/>
              </w:rPr>
            </w:pPr>
            <w:r>
              <w:rPr>
                <w:rFonts w:ascii="Arial" w:cs="Arial" w:eastAsia="Arial" w:hAnsi="Arial"/>
                <w:sz w:val="18"/>
                <w:szCs w:val="18"/>
                <w:color w:val="auto"/>
              </w:rPr>
              <w:t>Smithfield, RI</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Little Rock, AR</w:t>
            </w:r>
          </w:p>
        </w:tc>
        <w:tc>
          <w:tcPr>
            <w:tcW w:w="2780" w:type="dxa"/>
            <w:vAlign w:val="bottom"/>
          </w:tcPr>
          <w:p>
            <w:pPr>
              <w:ind w:left="520"/>
              <w:spacing w:after="0"/>
              <w:rPr>
                <w:sz w:val="20"/>
                <w:szCs w:val="20"/>
                <w:color w:val="auto"/>
              </w:rPr>
            </w:pPr>
            <w:r>
              <w:rPr>
                <w:rFonts w:ascii="Arial" w:cs="Arial" w:eastAsia="Arial" w:hAnsi="Arial"/>
                <w:sz w:val="18"/>
                <w:szCs w:val="18"/>
                <w:color w:val="auto"/>
              </w:rPr>
              <w:t>Urbandale, IA</w:t>
            </w:r>
          </w:p>
        </w:tc>
        <w:tc>
          <w:tcPr>
            <w:tcW w:w="2740" w:type="dxa"/>
            <w:vAlign w:val="bottom"/>
          </w:tcPr>
          <w:p>
            <w:pPr>
              <w:ind w:left="580"/>
              <w:spacing w:after="0"/>
              <w:rPr>
                <w:sz w:val="20"/>
                <w:szCs w:val="20"/>
                <w:color w:val="auto"/>
              </w:rPr>
            </w:pPr>
            <w:r>
              <w:rPr>
                <w:rFonts w:ascii="Arial" w:cs="Arial" w:eastAsia="Arial" w:hAnsi="Arial"/>
                <w:sz w:val="18"/>
                <w:szCs w:val="18"/>
                <w:color w:val="auto"/>
              </w:rPr>
              <w:t>Wilmington, NC</w:t>
            </w:r>
          </w:p>
        </w:tc>
        <w:tc>
          <w:tcPr>
            <w:tcW w:w="2340" w:type="dxa"/>
            <w:vAlign w:val="bottom"/>
          </w:tcPr>
          <w:p>
            <w:pPr>
              <w:ind w:left="700"/>
              <w:spacing w:after="0"/>
              <w:rPr>
                <w:sz w:val="20"/>
                <w:szCs w:val="20"/>
                <w:color w:val="auto"/>
              </w:rPr>
            </w:pPr>
            <w:r>
              <w:rPr>
                <w:rFonts w:ascii="Arial" w:cs="Arial" w:eastAsia="Arial" w:hAnsi="Arial"/>
                <w:sz w:val="18"/>
                <w:szCs w:val="18"/>
                <w:color w:val="auto"/>
              </w:rPr>
              <w:t>Duncan, SC</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Tempe, AZ</w:t>
            </w:r>
          </w:p>
        </w:tc>
        <w:tc>
          <w:tcPr>
            <w:tcW w:w="2780" w:type="dxa"/>
            <w:vAlign w:val="bottom"/>
          </w:tcPr>
          <w:p>
            <w:pPr>
              <w:ind w:left="520"/>
              <w:spacing w:after="0"/>
              <w:rPr>
                <w:sz w:val="20"/>
                <w:szCs w:val="20"/>
                <w:color w:val="auto"/>
              </w:rPr>
            </w:pPr>
            <w:r>
              <w:rPr>
                <w:rFonts w:ascii="Arial" w:cs="Arial" w:eastAsia="Arial" w:hAnsi="Arial"/>
                <w:sz w:val="18"/>
                <w:szCs w:val="18"/>
                <w:color w:val="auto"/>
              </w:rPr>
              <w:t>Meridian, ID</w:t>
            </w:r>
          </w:p>
        </w:tc>
        <w:tc>
          <w:tcPr>
            <w:tcW w:w="2740" w:type="dxa"/>
            <w:vAlign w:val="bottom"/>
          </w:tcPr>
          <w:p>
            <w:pPr>
              <w:ind w:left="580"/>
              <w:spacing w:after="0"/>
              <w:rPr>
                <w:sz w:val="20"/>
                <w:szCs w:val="20"/>
                <w:color w:val="auto"/>
              </w:rPr>
            </w:pPr>
            <w:r>
              <w:rPr>
                <w:rFonts w:ascii="Arial" w:cs="Arial" w:eastAsia="Arial" w:hAnsi="Arial"/>
                <w:sz w:val="18"/>
                <w:szCs w:val="18"/>
                <w:color w:val="auto"/>
              </w:rPr>
              <w:t>Lincoln, NE</w:t>
            </w:r>
          </w:p>
        </w:tc>
        <w:tc>
          <w:tcPr>
            <w:tcW w:w="2340" w:type="dxa"/>
            <w:vAlign w:val="bottom"/>
          </w:tcPr>
          <w:p>
            <w:pPr>
              <w:ind w:left="700"/>
              <w:spacing w:after="0"/>
              <w:rPr>
                <w:sz w:val="20"/>
                <w:szCs w:val="20"/>
                <w:color w:val="auto"/>
              </w:rPr>
            </w:pPr>
            <w:r>
              <w:rPr>
                <w:rFonts w:ascii="Arial" w:cs="Arial" w:eastAsia="Arial" w:hAnsi="Arial"/>
                <w:sz w:val="18"/>
                <w:szCs w:val="18"/>
                <w:color w:val="auto"/>
              </w:rPr>
              <w:t>Mount Pleasant, SC</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Bakersfield, CA</w:t>
            </w:r>
          </w:p>
        </w:tc>
        <w:tc>
          <w:tcPr>
            <w:tcW w:w="2780" w:type="dxa"/>
            <w:vAlign w:val="bottom"/>
          </w:tcPr>
          <w:p>
            <w:pPr>
              <w:ind w:left="520"/>
              <w:spacing w:after="0"/>
              <w:rPr>
                <w:sz w:val="20"/>
                <w:szCs w:val="20"/>
                <w:color w:val="auto"/>
              </w:rPr>
            </w:pPr>
            <w:r>
              <w:rPr>
                <w:rFonts w:ascii="Arial" w:cs="Arial" w:eastAsia="Arial" w:hAnsi="Arial"/>
                <w:sz w:val="18"/>
                <w:szCs w:val="18"/>
                <w:color w:val="auto"/>
              </w:rPr>
              <w:t>Lombard, IL</w:t>
            </w:r>
          </w:p>
        </w:tc>
        <w:tc>
          <w:tcPr>
            <w:tcW w:w="2740" w:type="dxa"/>
            <w:vAlign w:val="bottom"/>
          </w:tcPr>
          <w:p>
            <w:pPr>
              <w:ind w:left="580"/>
              <w:spacing w:after="0"/>
              <w:rPr>
                <w:sz w:val="20"/>
                <w:szCs w:val="20"/>
                <w:color w:val="auto"/>
              </w:rPr>
            </w:pPr>
            <w:r>
              <w:rPr>
                <w:rFonts w:ascii="Arial" w:cs="Arial" w:eastAsia="Arial" w:hAnsi="Arial"/>
                <w:sz w:val="18"/>
                <w:szCs w:val="18"/>
                <w:color w:val="auto"/>
              </w:rPr>
              <w:t>Omaha, NE</w:t>
            </w:r>
          </w:p>
        </w:tc>
        <w:tc>
          <w:tcPr>
            <w:tcW w:w="2340" w:type="dxa"/>
            <w:vAlign w:val="bottom"/>
          </w:tcPr>
          <w:p>
            <w:pPr>
              <w:ind w:left="700"/>
              <w:spacing w:after="0"/>
              <w:rPr>
                <w:sz w:val="20"/>
                <w:szCs w:val="20"/>
                <w:color w:val="auto"/>
              </w:rPr>
            </w:pPr>
            <w:r>
              <w:rPr>
                <w:rFonts w:ascii="Arial" w:cs="Arial" w:eastAsia="Arial" w:hAnsi="Arial"/>
                <w:sz w:val="18"/>
                <w:szCs w:val="18"/>
                <w:color w:val="auto"/>
              </w:rPr>
              <w:t>Knoxville, TN</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Burbank, CA</w:t>
            </w:r>
          </w:p>
        </w:tc>
        <w:tc>
          <w:tcPr>
            <w:tcW w:w="2780" w:type="dxa"/>
            <w:vAlign w:val="bottom"/>
          </w:tcPr>
          <w:p>
            <w:pPr>
              <w:ind w:left="520"/>
              <w:spacing w:after="0"/>
              <w:rPr>
                <w:sz w:val="20"/>
                <w:szCs w:val="20"/>
                <w:color w:val="auto"/>
              </w:rPr>
            </w:pPr>
            <w:r>
              <w:rPr>
                <w:rFonts w:ascii="Arial" w:cs="Arial" w:eastAsia="Arial" w:hAnsi="Arial"/>
                <w:sz w:val="18"/>
                <w:szCs w:val="18"/>
                <w:color w:val="auto"/>
              </w:rPr>
              <w:t>Wood Dale, IL</w:t>
            </w:r>
          </w:p>
        </w:tc>
        <w:tc>
          <w:tcPr>
            <w:tcW w:w="2740" w:type="dxa"/>
            <w:vAlign w:val="bottom"/>
          </w:tcPr>
          <w:p>
            <w:pPr>
              <w:ind w:left="580"/>
              <w:spacing w:after="0"/>
              <w:rPr>
                <w:sz w:val="20"/>
                <w:szCs w:val="20"/>
                <w:color w:val="auto"/>
              </w:rPr>
            </w:pPr>
            <w:r>
              <w:rPr>
                <w:rFonts w:ascii="Arial" w:cs="Arial" w:eastAsia="Arial" w:hAnsi="Arial"/>
                <w:sz w:val="18"/>
                <w:szCs w:val="18"/>
                <w:color w:val="auto"/>
              </w:rPr>
              <w:t>Bedford, NH</w:t>
            </w:r>
          </w:p>
        </w:tc>
        <w:tc>
          <w:tcPr>
            <w:tcW w:w="2340" w:type="dxa"/>
            <w:vAlign w:val="bottom"/>
          </w:tcPr>
          <w:p>
            <w:pPr>
              <w:ind w:left="700"/>
              <w:spacing w:after="0"/>
              <w:rPr>
                <w:sz w:val="20"/>
                <w:szCs w:val="20"/>
                <w:color w:val="auto"/>
              </w:rPr>
            </w:pPr>
            <w:r>
              <w:rPr>
                <w:rFonts w:ascii="Arial" w:cs="Arial" w:eastAsia="Arial" w:hAnsi="Arial"/>
                <w:sz w:val="18"/>
                <w:szCs w:val="18"/>
                <w:color w:val="auto"/>
              </w:rPr>
              <w:t>Memphis, TN</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Chico, CA</w:t>
            </w:r>
          </w:p>
        </w:tc>
        <w:tc>
          <w:tcPr>
            <w:tcW w:w="2780" w:type="dxa"/>
            <w:vAlign w:val="bottom"/>
          </w:tcPr>
          <w:p>
            <w:pPr>
              <w:ind w:left="520"/>
              <w:spacing w:after="0"/>
              <w:rPr>
                <w:sz w:val="20"/>
                <w:szCs w:val="20"/>
                <w:color w:val="auto"/>
              </w:rPr>
            </w:pPr>
            <w:r>
              <w:rPr>
                <w:rFonts w:ascii="Arial" w:cs="Arial" w:eastAsia="Arial" w:hAnsi="Arial"/>
                <w:sz w:val="18"/>
                <w:szCs w:val="18"/>
                <w:color w:val="auto"/>
              </w:rPr>
              <w:t>Carmel, IN</w:t>
            </w:r>
          </w:p>
        </w:tc>
        <w:tc>
          <w:tcPr>
            <w:tcW w:w="2740" w:type="dxa"/>
            <w:vAlign w:val="bottom"/>
          </w:tcPr>
          <w:p>
            <w:pPr>
              <w:ind w:left="580"/>
              <w:spacing w:after="0"/>
              <w:rPr>
                <w:sz w:val="20"/>
                <w:szCs w:val="20"/>
                <w:color w:val="auto"/>
              </w:rPr>
            </w:pPr>
            <w:r>
              <w:rPr>
                <w:rFonts w:ascii="Arial" w:cs="Arial" w:eastAsia="Arial" w:hAnsi="Arial"/>
                <w:sz w:val="18"/>
                <w:szCs w:val="18"/>
                <w:color w:val="auto"/>
              </w:rPr>
              <w:t>Eatontown, NJ</w:t>
            </w:r>
          </w:p>
        </w:tc>
        <w:tc>
          <w:tcPr>
            <w:tcW w:w="2340" w:type="dxa"/>
            <w:vAlign w:val="bottom"/>
          </w:tcPr>
          <w:p>
            <w:pPr>
              <w:ind w:left="700"/>
              <w:spacing w:after="0"/>
              <w:rPr>
                <w:sz w:val="20"/>
                <w:szCs w:val="20"/>
                <w:color w:val="auto"/>
              </w:rPr>
            </w:pPr>
            <w:r>
              <w:rPr>
                <w:rFonts w:ascii="Arial" w:cs="Arial" w:eastAsia="Arial" w:hAnsi="Arial"/>
                <w:sz w:val="18"/>
                <w:szCs w:val="18"/>
                <w:color w:val="auto"/>
              </w:rPr>
              <w:t>Nashville, TN</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Hayward, CA</w:t>
            </w:r>
          </w:p>
        </w:tc>
        <w:tc>
          <w:tcPr>
            <w:tcW w:w="2780" w:type="dxa"/>
            <w:vAlign w:val="bottom"/>
          </w:tcPr>
          <w:p>
            <w:pPr>
              <w:ind w:left="520"/>
              <w:spacing w:after="0"/>
              <w:rPr>
                <w:sz w:val="20"/>
                <w:szCs w:val="20"/>
                <w:color w:val="auto"/>
              </w:rPr>
            </w:pPr>
            <w:r>
              <w:rPr>
                <w:rFonts w:ascii="Arial" w:cs="Arial" w:eastAsia="Arial" w:hAnsi="Arial"/>
                <w:sz w:val="18"/>
                <w:szCs w:val="18"/>
                <w:color w:val="auto"/>
              </w:rPr>
              <w:t>Overland Park, KS</w:t>
            </w:r>
          </w:p>
        </w:tc>
        <w:tc>
          <w:tcPr>
            <w:tcW w:w="2740" w:type="dxa"/>
            <w:vAlign w:val="bottom"/>
          </w:tcPr>
          <w:p>
            <w:pPr>
              <w:ind w:left="580"/>
              <w:spacing w:after="0"/>
              <w:rPr>
                <w:sz w:val="20"/>
                <w:szCs w:val="20"/>
                <w:color w:val="auto"/>
              </w:rPr>
            </w:pPr>
            <w:r>
              <w:rPr>
                <w:rFonts w:ascii="Arial" w:cs="Arial" w:eastAsia="Arial" w:hAnsi="Arial"/>
                <w:sz w:val="18"/>
                <w:szCs w:val="18"/>
                <w:color w:val="auto"/>
              </w:rPr>
              <w:t>Morris Plains, NJ</w:t>
            </w:r>
          </w:p>
        </w:tc>
        <w:tc>
          <w:tcPr>
            <w:tcW w:w="2340" w:type="dxa"/>
            <w:vAlign w:val="bottom"/>
          </w:tcPr>
          <w:p>
            <w:pPr>
              <w:ind w:left="700"/>
              <w:spacing w:after="0"/>
              <w:rPr>
                <w:sz w:val="20"/>
                <w:szCs w:val="20"/>
                <w:color w:val="auto"/>
              </w:rPr>
            </w:pPr>
            <w:r>
              <w:rPr>
                <w:rFonts w:ascii="Arial" w:cs="Arial" w:eastAsia="Arial" w:hAnsi="Arial"/>
                <w:sz w:val="18"/>
                <w:szCs w:val="18"/>
                <w:color w:val="auto"/>
              </w:rPr>
              <w:t>Austin, TX</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Irvine, CA</w:t>
            </w:r>
          </w:p>
        </w:tc>
        <w:tc>
          <w:tcPr>
            <w:tcW w:w="2780" w:type="dxa"/>
            <w:vAlign w:val="bottom"/>
          </w:tcPr>
          <w:p>
            <w:pPr>
              <w:ind w:left="520"/>
              <w:spacing w:after="0"/>
              <w:rPr>
                <w:sz w:val="20"/>
                <w:szCs w:val="20"/>
                <w:color w:val="auto"/>
              </w:rPr>
            </w:pPr>
            <w:r>
              <w:rPr>
                <w:rFonts w:ascii="Arial" w:cs="Arial" w:eastAsia="Arial" w:hAnsi="Arial"/>
                <w:sz w:val="18"/>
                <w:szCs w:val="18"/>
                <w:color w:val="auto"/>
              </w:rPr>
              <w:t>Ashland, KY</w:t>
            </w:r>
          </w:p>
        </w:tc>
        <w:tc>
          <w:tcPr>
            <w:tcW w:w="2740" w:type="dxa"/>
            <w:vAlign w:val="bottom"/>
          </w:tcPr>
          <w:p>
            <w:pPr>
              <w:ind w:left="580"/>
              <w:spacing w:after="0"/>
              <w:rPr>
                <w:sz w:val="20"/>
                <w:szCs w:val="20"/>
                <w:color w:val="auto"/>
              </w:rPr>
            </w:pPr>
            <w:r>
              <w:rPr>
                <w:rFonts w:ascii="Arial" w:cs="Arial" w:eastAsia="Arial" w:hAnsi="Arial"/>
                <w:sz w:val="18"/>
                <w:szCs w:val="18"/>
                <w:color w:val="auto"/>
              </w:rPr>
              <w:t>Somers Point, NJ</w:t>
            </w:r>
          </w:p>
        </w:tc>
        <w:tc>
          <w:tcPr>
            <w:tcW w:w="2340" w:type="dxa"/>
            <w:vAlign w:val="bottom"/>
          </w:tcPr>
          <w:p>
            <w:pPr>
              <w:ind w:left="700"/>
              <w:spacing w:after="0"/>
              <w:rPr>
                <w:sz w:val="20"/>
                <w:szCs w:val="20"/>
                <w:color w:val="auto"/>
              </w:rPr>
            </w:pPr>
            <w:r>
              <w:rPr>
                <w:rFonts w:ascii="Arial" w:cs="Arial" w:eastAsia="Arial" w:hAnsi="Arial"/>
                <w:sz w:val="18"/>
                <w:szCs w:val="18"/>
                <w:color w:val="auto"/>
              </w:rPr>
              <w:t>Houston, TX (2)</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Riverside, CA</w:t>
            </w:r>
          </w:p>
        </w:tc>
        <w:tc>
          <w:tcPr>
            <w:tcW w:w="2780" w:type="dxa"/>
            <w:vAlign w:val="bottom"/>
          </w:tcPr>
          <w:p>
            <w:pPr>
              <w:ind w:left="520"/>
              <w:spacing w:after="0"/>
              <w:rPr>
                <w:sz w:val="20"/>
                <w:szCs w:val="20"/>
                <w:color w:val="auto"/>
              </w:rPr>
            </w:pPr>
            <w:r>
              <w:rPr>
                <w:rFonts w:ascii="Arial" w:cs="Arial" w:eastAsia="Arial" w:hAnsi="Arial"/>
                <w:sz w:val="18"/>
                <w:szCs w:val="18"/>
                <w:color w:val="auto"/>
              </w:rPr>
              <w:t>Lexington, KY</w:t>
            </w:r>
          </w:p>
        </w:tc>
        <w:tc>
          <w:tcPr>
            <w:tcW w:w="2740" w:type="dxa"/>
            <w:vAlign w:val="bottom"/>
          </w:tcPr>
          <w:p>
            <w:pPr>
              <w:ind w:left="580"/>
              <w:spacing w:after="0"/>
              <w:rPr>
                <w:sz w:val="20"/>
                <w:szCs w:val="20"/>
                <w:color w:val="auto"/>
              </w:rPr>
            </w:pPr>
            <w:r>
              <w:rPr>
                <w:rFonts w:ascii="Arial" w:cs="Arial" w:eastAsia="Arial" w:hAnsi="Arial"/>
                <w:sz w:val="18"/>
                <w:szCs w:val="18"/>
                <w:color w:val="auto"/>
              </w:rPr>
              <w:t>Las Vegas, NV</w:t>
            </w:r>
          </w:p>
        </w:tc>
        <w:tc>
          <w:tcPr>
            <w:tcW w:w="2340" w:type="dxa"/>
            <w:vAlign w:val="bottom"/>
          </w:tcPr>
          <w:p>
            <w:pPr>
              <w:ind w:left="700"/>
              <w:spacing w:after="0"/>
              <w:rPr>
                <w:sz w:val="20"/>
                <w:szCs w:val="20"/>
                <w:color w:val="auto"/>
              </w:rPr>
            </w:pPr>
            <w:r>
              <w:rPr>
                <w:rFonts w:ascii="Arial" w:cs="Arial" w:eastAsia="Arial" w:hAnsi="Arial"/>
                <w:sz w:val="18"/>
                <w:szCs w:val="18"/>
                <w:color w:val="auto"/>
              </w:rPr>
              <w:t>Irving, TX</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Sacramento, CA</w:t>
            </w:r>
          </w:p>
        </w:tc>
        <w:tc>
          <w:tcPr>
            <w:tcW w:w="2780" w:type="dxa"/>
            <w:vAlign w:val="bottom"/>
          </w:tcPr>
          <w:p>
            <w:pPr>
              <w:ind w:left="520"/>
              <w:spacing w:after="0"/>
              <w:rPr>
                <w:sz w:val="20"/>
                <w:szCs w:val="20"/>
                <w:color w:val="auto"/>
              </w:rPr>
            </w:pPr>
            <w:r>
              <w:rPr>
                <w:rFonts w:ascii="Arial" w:cs="Arial" w:eastAsia="Arial" w:hAnsi="Arial"/>
                <w:sz w:val="18"/>
                <w:szCs w:val="18"/>
                <w:color w:val="auto"/>
              </w:rPr>
              <w:t>Louisville, KY</w:t>
            </w:r>
          </w:p>
        </w:tc>
        <w:tc>
          <w:tcPr>
            <w:tcW w:w="2740" w:type="dxa"/>
            <w:vAlign w:val="bottom"/>
          </w:tcPr>
          <w:p>
            <w:pPr>
              <w:ind w:left="580"/>
              <w:spacing w:after="0"/>
              <w:rPr>
                <w:sz w:val="20"/>
                <w:szCs w:val="20"/>
                <w:color w:val="auto"/>
              </w:rPr>
            </w:pPr>
            <w:r>
              <w:rPr>
                <w:rFonts w:ascii="Arial" w:cs="Arial" w:eastAsia="Arial" w:hAnsi="Arial"/>
                <w:sz w:val="18"/>
                <w:szCs w:val="18"/>
                <w:color w:val="auto"/>
              </w:rPr>
              <w:t>Reno, NV</w:t>
            </w:r>
          </w:p>
        </w:tc>
        <w:tc>
          <w:tcPr>
            <w:tcW w:w="2340" w:type="dxa"/>
            <w:vAlign w:val="bottom"/>
          </w:tcPr>
          <w:p>
            <w:pPr>
              <w:ind w:left="700"/>
              <w:spacing w:after="0"/>
              <w:rPr>
                <w:sz w:val="20"/>
                <w:szCs w:val="20"/>
                <w:color w:val="auto"/>
              </w:rPr>
            </w:pPr>
            <w:r>
              <w:rPr>
                <w:rFonts w:ascii="Arial" w:cs="Arial" w:eastAsia="Arial" w:hAnsi="Arial"/>
                <w:sz w:val="18"/>
                <w:szCs w:val="18"/>
                <w:color w:val="auto"/>
              </w:rPr>
              <w:t>Richardson, TX</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San Diego, CA</w:t>
            </w:r>
          </w:p>
        </w:tc>
        <w:tc>
          <w:tcPr>
            <w:tcW w:w="2780" w:type="dxa"/>
            <w:vAlign w:val="bottom"/>
          </w:tcPr>
          <w:p>
            <w:pPr>
              <w:ind w:left="520"/>
              <w:spacing w:after="0"/>
              <w:rPr>
                <w:sz w:val="20"/>
                <w:szCs w:val="20"/>
                <w:color w:val="auto"/>
              </w:rPr>
            </w:pPr>
            <w:r>
              <w:rPr>
                <w:rFonts w:ascii="Arial" w:cs="Arial" w:eastAsia="Arial" w:hAnsi="Arial"/>
                <w:sz w:val="18"/>
                <w:szCs w:val="18"/>
                <w:color w:val="auto"/>
              </w:rPr>
              <w:t>Baton Rouge, LA</w:t>
            </w:r>
          </w:p>
        </w:tc>
        <w:tc>
          <w:tcPr>
            <w:tcW w:w="2740" w:type="dxa"/>
            <w:vAlign w:val="bottom"/>
          </w:tcPr>
          <w:p>
            <w:pPr>
              <w:ind w:left="580"/>
              <w:spacing w:after="0"/>
              <w:rPr>
                <w:sz w:val="20"/>
                <w:szCs w:val="20"/>
                <w:color w:val="auto"/>
              </w:rPr>
            </w:pPr>
            <w:r>
              <w:rPr>
                <w:rFonts w:ascii="Arial" w:cs="Arial" w:eastAsia="Arial" w:hAnsi="Arial"/>
                <w:sz w:val="18"/>
                <w:szCs w:val="18"/>
                <w:color w:val="auto"/>
              </w:rPr>
              <w:t>College Point, NY</w:t>
            </w:r>
          </w:p>
        </w:tc>
        <w:tc>
          <w:tcPr>
            <w:tcW w:w="2340" w:type="dxa"/>
            <w:vAlign w:val="bottom"/>
          </w:tcPr>
          <w:p>
            <w:pPr>
              <w:ind w:left="700"/>
              <w:spacing w:after="0"/>
              <w:rPr>
                <w:sz w:val="20"/>
                <w:szCs w:val="20"/>
                <w:color w:val="auto"/>
              </w:rPr>
            </w:pPr>
            <w:r>
              <w:rPr>
                <w:rFonts w:ascii="Arial" w:cs="Arial" w:eastAsia="Arial" w:hAnsi="Arial"/>
                <w:sz w:val="18"/>
                <w:szCs w:val="18"/>
                <w:color w:val="auto"/>
              </w:rPr>
              <w:t>San Antonio, TX</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Santa Fe Springs, CA (2)</w:t>
            </w:r>
          </w:p>
        </w:tc>
        <w:tc>
          <w:tcPr>
            <w:tcW w:w="2780" w:type="dxa"/>
            <w:vAlign w:val="bottom"/>
          </w:tcPr>
          <w:p>
            <w:pPr>
              <w:ind w:left="520"/>
              <w:spacing w:after="0"/>
              <w:rPr>
                <w:sz w:val="20"/>
                <w:szCs w:val="20"/>
                <w:color w:val="auto"/>
              </w:rPr>
            </w:pPr>
            <w:r>
              <w:rPr>
                <w:rFonts w:ascii="Arial" w:cs="Arial" w:eastAsia="Arial" w:hAnsi="Arial"/>
                <w:sz w:val="18"/>
                <w:szCs w:val="18"/>
                <w:color w:val="auto"/>
              </w:rPr>
              <w:t>New Orleans, LA</w:t>
            </w:r>
          </w:p>
        </w:tc>
        <w:tc>
          <w:tcPr>
            <w:tcW w:w="2740" w:type="dxa"/>
            <w:vAlign w:val="bottom"/>
          </w:tcPr>
          <w:p>
            <w:pPr>
              <w:ind w:left="580"/>
              <w:spacing w:after="0"/>
              <w:rPr>
                <w:sz w:val="20"/>
                <w:szCs w:val="20"/>
                <w:color w:val="auto"/>
              </w:rPr>
            </w:pPr>
            <w:r>
              <w:rPr>
                <w:rFonts w:ascii="Arial" w:cs="Arial" w:eastAsia="Arial" w:hAnsi="Arial"/>
                <w:sz w:val="18"/>
                <w:szCs w:val="18"/>
                <w:color w:val="auto"/>
              </w:rPr>
              <w:t>Lake Success, NY</w:t>
            </w:r>
          </w:p>
        </w:tc>
        <w:tc>
          <w:tcPr>
            <w:tcW w:w="2340" w:type="dxa"/>
            <w:vAlign w:val="bottom"/>
          </w:tcPr>
          <w:p>
            <w:pPr>
              <w:ind w:left="700"/>
              <w:spacing w:after="0"/>
              <w:rPr>
                <w:sz w:val="20"/>
                <w:szCs w:val="20"/>
                <w:color w:val="auto"/>
              </w:rPr>
            </w:pPr>
            <w:r>
              <w:rPr>
                <w:rFonts w:ascii="Arial" w:cs="Arial" w:eastAsia="Arial" w:hAnsi="Arial"/>
                <w:sz w:val="18"/>
                <w:szCs w:val="18"/>
                <w:color w:val="auto"/>
              </w:rPr>
              <w:t>Salt Lake City, UT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Sun Valley, CA</w:t>
            </w:r>
          </w:p>
        </w:tc>
        <w:tc>
          <w:tcPr>
            <w:tcW w:w="2780" w:type="dxa"/>
            <w:vAlign w:val="bottom"/>
          </w:tcPr>
          <w:p>
            <w:pPr>
              <w:ind w:left="520"/>
              <w:spacing w:after="0"/>
              <w:rPr>
                <w:sz w:val="20"/>
                <w:szCs w:val="20"/>
                <w:color w:val="auto"/>
              </w:rPr>
            </w:pPr>
            <w:r>
              <w:rPr>
                <w:rFonts w:ascii="Arial" w:cs="Arial" w:eastAsia="Arial" w:hAnsi="Arial"/>
                <w:sz w:val="18"/>
                <w:szCs w:val="18"/>
                <w:color w:val="auto"/>
              </w:rPr>
              <w:t>Shreveport, LA</w:t>
            </w:r>
          </w:p>
        </w:tc>
        <w:tc>
          <w:tcPr>
            <w:tcW w:w="2740" w:type="dxa"/>
            <w:vAlign w:val="bottom"/>
          </w:tcPr>
          <w:p>
            <w:pPr>
              <w:ind w:left="580"/>
              <w:spacing w:after="0"/>
              <w:rPr>
                <w:sz w:val="20"/>
                <w:szCs w:val="20"/>
                <w:color w:val="auto"/>
              </w:rPr>
            </w:pPr>
            <w:r>
              <w:rPr>
                <w:rFonts w:ascii="Arial" w:cs="Arial" w:eastAsia="Arial" w:hAnsi="Arial"/>
                <w:sz w:val="18"/>
                <w:szCs w:val="18"/>
                <w:color w:val="auto"/>
              </w:rPr>
              <w:t>Orchard Park, NY</w:t>
            </w:r>
          </w:p>
        </w:tc>
        <w:tc>
          <w:tcPr>
            <w:tcW w:w="2340" w:type="dxa"/>
            <w:vAlign w:val="bottom"/>
          </w:tcPr>
          <w:p>
            <w:pPr>
              <w:ind w:left="700"/>
              <w:spacing w:after="0"/>
              <w:rPr>
                <w:sz w:val="20"/>
                <w:szCs w:val="20"/>
                <w:color w:val="auto"/>
              </w:rPr>
            </w:pPr>
            <w:r>
              <w:rPr>
                <w:rFonts w:ascii="Arial" w:cs="Arial" w:eastAsia="Arial" w:hAnsi="Arial"/>
                <w:sz w:val="18"/>
                <w:szCs w:val="18"/>
                <w:color w:val="auto"/>
              </w:rPr>
              <w:t>Ashland, VA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Englewood, CO</w:t>
            </w:r>
          </w:p>
        </w:tc>
        <w:tc>
          <w:tcPr>
            <w:tcW w:w="2780" w:type="dxa"/>
            <w:vAlign w:val="bottom"/>
          </w:tcPr>
          <w:p>
            <w:pPr>
              <w:ind w:left="520"/>
              <w:spacing w:after="0"/>
              <w:rPr>
                <w:sz w:val="20"/>
                <w:szCs w:val="20"/>
                <w:color w:val="auto"/>
              </w:rPr>
            </w:pPr>
            <w:r>
              <w:rPr>
                <w:rFonts w:ascii="Arial" w:cs="Arial" w:eastAsia="Arial" w:hAnsi="Arial"/>
                <w:sz w:val="18"/>
                <w:szCs w:val="18"/>
                <w:color w:val="auto"/>
              </w:rPr>
              <w:t>Marlborough, MA</w:t>
            </w:r>
          </w:p>
        </w:tc>
        <w:tc>
          <w:tcPr>
            <w:tcW w:w="2740" w:type="dxa"/>
            <w:vAlign w:val="bottom"/>
          </w:tcPr>
          <w:p>
            <w:pPr>
              <w:ind w:left="580"/>
              <w:spacing w:after="0"/>
              <w:rPr>
                <w:sz w:val="20"/>
                <w:szCs w:val="20"/>
                <w:color w:val="auto"/>
              </w:rPr>
            </w:pPr>
            <w:r>
              <w:rPr>
                <w:rFonts w:ascii="Arial" w:cs="Arial" w:eastAsia="Arial" w:hAnsi="Arial"/>
                <w:sz w:val="18"/>
                <w:szCs w:val="18"/>
                <w:color w:val="auto"/>
              </w:rPr>
              <w:t>Brecksville, OH</w:t>
            </w:r>
          </w:p>
        </w:tc>
        <w:tc>
          <w:tcPr>
            <w:tcW w:w="2340" w:type="dxa"/>
            <w:vAlign w:val="bottom"/>
          </w:tcPr>
          <w:p>
            <w:pPr>
              <w:ind w:left="700"/>
              <w:spacing w:after="0"/>
              <w:rPr>
                <w:sz w:val="20"/>
                <w:szCs w:val="20"/>
                <w:color w:val="auto"/>
              </w:rPr>
            </w:pPr>
            <w:r>
              <w:rPr>
                <w:rFonts w:ascii="Arial" w:cs="Arial" w:eastAsia="Arial" w:hAnsi="Arial"/>
                <w:sz w:val="18"/>
                <w:szCs w:val="18"/>
                <w:color w:val="auto"/>
              </w:rPr>
              <w:t>Chantilly, VA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Cromwell, CT (2)</w:t>
            </w:r>
          </w:p>
        </w:tc>
        <w:tc>
          <w:tcPr>
            <w:tcW w:w="2780" w:type="dxa"/>
            <w:vAlign w:val="bottom"/>
          </w:tcPr>
          <w:p>
            <w:pPr>
              <w:ind w:left="520"/>
              <w:spacing w:after="0"/>
              <w:rPr>
                <w:sz w:val="20"/>
                <w:szCs w:val="20"/>
                <w:color w:val="auto"/>
              </w:rPr>
            </w:pPr>
            <w:r>
              <w:rPr>
                <w:rFonts w:ascii="Arial" w:cs="Arial" w:eastAsia="Arial" w:hAnsi="Arial"/>
                <w:sz w:val="18"/>
                <w:szCs w:val="18"/>
                <w:color w:val="auto"/>
              </w:rPr>
              <w:t>Southborough, MA</w:t>
            </w:r>
          </w:p>
        </w:tc>
        <w:tc>
          <w:tcPr>
            <w:tcW w:w="2740" w:type="dxa"/>
            <w:vAlign w:val="bottom"/>
          </w:tcPr>
          <w:p>
            <w:pPr>
              <w:ind w:left="580"/>
              <w:spacing w:after="0"/>
              <w:rPr>
                <w:sz w:val="20"/>
                <w:szCs w:val="20"/>
                <w:color w:val="auto"/>
              </w:rPr>
            </w:pPr>
            <w:r>
              <w:rPr>
                <w:rFonts w:ascii="Arial" w:cs="Arial" w:eastAsia="Arial" w:hAnsi="Arial"/>
                <w:sz w:val="18"/>
                <w:szCs w:val="18"/>
                <w:color w:val="auto"/>
              </w:rPr>
              <w:t>Canfield, OH</w:t>
            </w:r>
          </w:p>
        </w:tc>
        <w:tc>
          <w:tcPr>
            <w:tcW w:w="2340" w:type="dxa"/>
            <w:vAlign w:val="bottom"/>
          </w:tcPr>
          <w:p>
            <w:pPr>
              <w:ind w:left="700"/>
              <w:spacing w:after="0"/>
              <w:rPr>
                <w:sz w:val="20"/>
                <w:szCs w:val="20"/>
                <w:color w:val="auto"/>
              </w:rPr>
            </w:pPr>
            <w:r>
              <w:rPr>
                <w:rFonts w:ascii="Arial" w:cs="Arial" w:eastAsia="Arial" w:hAnsi="Arial"/>
                <w:sz w:val="18"/>
                <w:szCs w:val="18"/>
                <w:color w:val="auto"/>
              </w:rPr>
              <w:t>Newport News, VA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Shelton, CT</w:t>
            </w:r>
          </w:p>
        </w:tc>
        <w:tc>
          <w:tcPr>
            <w:tcW w:w="2780" w:type="dxa"/>
            <w:vAlign w:val="bottom"/>
          </w:tcPr>
          <w:p>
            <w:pPr>
              <w:ind w:left="520"/>
              <w:spacing w:after="0"/>
              <w:rPr>
                <w:sz w:val="20"/>
                <w:szCs w:val="20"/>
                <w:color w:val="auto"/>
              </w:rPr>
            </w:pPr>
            <w:r>
              <w:rPr>
                <w:rFonts w:ascii="Arial" w:cs="Arial" w:eastAsia="Arial" w:hAnsi="Arial"/>
                <w:sz w:val="18"/>
                <w:szCs w:val="18"/>
                <w:color w:val="auto"/>
              </w:rPr>
              <w:t>Columbia, MD</w:t>
            </w:r>
          </w:p>
        </w:tc>
        <w:tc>
          <w:tcPr>
            <w:tcW w:w="2740" w:type="dxa"/>
            <w:vAlign w:val="bottom"/>
          </w:tcPr>
          <w:p>
            <w:pPr>
              <w:ind w:left="580"/>
              <w:spacing w:after="0"/>
              <w:rPr>
                <w:sz w:val="20"/>
                <w:szCs w:val="20"/>
                <w:color w:val="auto"/>
              </w:rPr>
            </w:pPr>
            <w:r>
              <w:rPr>
                <w:rFonts w:ascii="Arial" w:cs="Arial" w:eastAsia="Arial" w:hAnsi="Arial"/>
                <w:sz w:val="18"/>
                <w:szCs w:val="18"/>
                <w:color w:val="auto"/>
              </w:rPr>
              <w:t>Columbus, OH</w:t>
            </w:r>
          </w:p>
        </w:tc>
        <w:tc>
          <w:tcPr>
            <w:tcW w:w="2340" w:type="dxa"/>
            <w:vAlign w:val="bottom"/>
          </w:tcPr>
          <w:p>
            <w:pPr>
              <w:ind w:left="700"/>
              <w:spacing w:after="0"/>
              <w:rPr>
                <w:sz w:val="20"/>
                <w:szCs w:val="20"/>
                <w:color w:val="auto"/>
              </w:rPr>
            </w:pPr>
            <w:r>
              <w:rPr>
                <w:rFonts w:ascii="Arial" w:cs="Arial" w:eastAsia="Arial" w:hAnsi="Arial"/>
                <w:sz w:val="18"/>
                <w:szCs w:val="18"/>
                <w:color w:val="auto"/>
              </w:rPr>
              <w:t>Norfolk, VA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Newark, DE</w:t>
            </w:r>
          </w:p>
        </w:tc>
        <w:tc>
          <w:tcPr>
            <w:tcW w:w="2780" w:type="dxa"/>
            <w:vAlign w:val="bottom"/>
          </w:tcPr>
          <w:p>
            <w:pPr>
              <w:ind w:left="520"/>
              <w:spacing w:after="0"/>
              <w:rPr>
                <w:sz w:val="20"/>
                <w:szCs w:val="20"/>
                <w:color w:val="auto"/>
              </w:rPr>
            </w:pPr>
            <w:r>
              <w:rPr>
                <w:rFonts w:ascii="Arial" w:cs="Arial" w:eastAsia="Arial" w:hAnsi="Arial"/>
                <w:sz w:val="18"/>
                <w:szCs w:val="18"/>
                <w:color w:val="auto"/>
              </w:rPr>
              <w:t>Auburn, ME</w:t>
            </w:r>
          </w:p>
        </w:tc>
        <w:tc>
          <w:tcPr>
            <w:tcW w:w="2740" w:type="dxa"/>
            <w:vAlign w:val="bottom"/>
          </w:tcPr>
          <w:p>
            <w:pPr>
              <w:ind w:left="580"/>
              <w:spacing w:after="0"/>
              <w:rPr>
                <w:sz w:val="20"/>
                <w:szCs w:val="20"/>
                <w:color w:val="auto"/>
              </w:rPr>
            </w:pPr>
            <w:r>
              <w:rPr>
                <w:rFonts w:ascii="Arial" w:cs="Arial" w:eastAsia="Arial" w:hAnsi="Arial"/>
                <w:sz w:val="18"/>
                <w:szCs w:val="18"/>
                <w:color w:val="auto"/>
              </w:rPr>
              <w:t>Dublin, OH</w:t>
            </w:r>
          </w:p>
        </w:tc>
        <w:tc>
          <w:tcPr>
            <w:tcW w:w="2340" w:type="dxa"/>
            <w:vAlign w:val="bottom"/>
          </w:tcPr>
          <w:p>
            <w:pPr>
              <w:ind w:left="700"/>
              <w:spacing w:after="0"/>
              <w:rPr>
                <w:sz w:val="20"/>
                <w:szCs w:val="20"/>
                <w:color w:val="auto"/>
              </w:rPr>
            </w:pPr>
            <w:r>
              <w:rPr>
                <w:rFonts w:ascii="Arial" w:cs="Arial" w:eastAsia="Arial" w:hAnsi="Arial"/>
                <w:sz w:val="18"/>
                <w:szCs w:val="18"/>
                <w:color w:val="auto"/>
              </w:rPr>
              <w:t>Roanoke, VA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Fort Myers, FL</w:t>
            </w:r>
          </w:p>
        </w:tc>
        <w:tc>
          <w:tcPr>
            <w:tcW w:w="2780" w:type="dxa"/>
            <w:vAlign w:val="bottom"/>
          </w:tcPr>
          <w:p>
            <w:pPr>
              <w:ind w:left="520"/>
              <w:spacing w:after="0"/>
              <w:rPr>
                <w:sz w:val="20"/>
                <w:szCs w:val="20"/>
                <w:color w:val="auto"/>
              </w:rPr>
            </w:pPr>
            <w:r>
              <w:rPr>
                <w:rFonts w:ascii="Arial" w:cs="Arial" w:eastAsia="Arial" w:hAnsi="Arial"/>
                <w:sz w:val="18"/>
                <w:szCs w:val="18"/>
                <w:color w:val="auto"/>
              </w:rPr>
              <w:t>Farmington Hills, MI</w:t>
            </w:r>
          </w:p>
        </w:tc>
        <w:tc>
          <w:tcPr>
            <w:tcW w:w="2740" w:type="dxa"/>
            <w:vAlign w:val="bottom"/>
          </w:tcPr>
          <w:p>
            <w:pPr>
              <w:ind w:left="580"/>
              <w:spacing w:after="0"/>
              <w:rPr>
                <w:sz w:val="20"/>
                <w:szCs w:val="20"/>
                <w:color w:val="auto"/>
              </w:rPr>
            </w:pPr>
            <w:r>
              <w:rPr>
                <w:rFonts w:ascii="Arial" w:cs="Arial" w:eastAsia="Arial" w:hAnsi="Arial"/>
                <w:sz w:val="18"/>
                <w:szCs w:val="18"/>
                <w:color w:val="auto"/>
              </w:rPr>
              <w:t>Milford, OH</w:t>
            </w:r>
          </w:p>
        </w:tc>
        <w:tc>
          <w:tcPr>
            <w:tcW w:w="2340" w:type="dxa"/>
            <w:vAlign w:val="bottom"/>
          </w:tcPr>
          <w:p>
            <w:pPr>
              <w:ind w:left="700"/>
              <w:spacing w:after="0"/>
              <w:rPr>
                <w:sz w:val="20"/>
                <w:szCs w:val="20"/>
                <w:color w:val="auto"/>
              </w:rPr>
            </w:pPr>
            <w:r>
              <w:rPr>
                <w:rFonts w:ascii="Arial" w:cs="Arial" w:eastAsia="Arial" w:hAnsi="Arial"/>
                <w:sz w:val="18"/>
                <w:szCs w:val="18"/>
                <w:color w:val="auto"/>
              </w:rPr>
              <w:t>Rutland, VT</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Gainesville, FL</w:t>
            </w:r>
          </w:p>
        </w:tc>
        <w:tc>
          <w:tcPr>
            <w:tcW w:w="2780" w:type="dxa"/>
            <w:vAlign w:val="bottom"/>
          </w:tcPr>
          <w:p>
            <w:pPr>
              <w:ind w:left="520"/>
              <w:spacing w:after="0"/>
              <w:rPr>
                <w:sz w:val="20"/>
                <w:szCs w:val="20"/>
                <w:color w:val="auto"/>
              </w:rPr>
            </w:pPr>
            <w:r>
              <w:rPr>
                <w:rFonts w:ascii="Arial" w:cs="Arial" w:eastAsia="Arial" w:hAnsi="Arial"/>
                <w:sz w:val="18"/>
                <w:szCs w:val="18"/>
                <w:color w:val="auto"/>
              </w:rPr>
              <w:t>Grand Rapids, MI</w:t>
            </w:r>
          </w:p>
        </w:tc>
        <w:tc>
          <w:tcPr>
            <w:tcW w:w="2740" w:type="dxa"/>
            <w:vAlign w:val="bottom"/>
          </w:tcPr>
          <w:p>
            <w:pPr>
              <w:ind w:left="580"/>
              <w:spacing w:after="0"/>
              <w:rPr>
                <w:sz w:val="20"/>
                <w:szCs w:val="20"/>
                <w:color w:val="auto"/>
              </w:rPr>
            </w:pPr>
            <w:r>
              <w:rPr>
                <w:rFonts w:ascii="Arial" w:cs="Arial" w:eastAsia="Arial" w:hAnsi="Arial"/>
                <w:sz w:val="18"/>
                <w:szCs w:val="18"/>
                <w:color w:val="auto"/>
              </w:rPr>
              <w:t>Sylvania, OH</w:t>
            </w:r>
          </w:p>
        </w:tc>
        <w:tc>
          <w:tcPr>
            <w:tcW w:w="2340" w:type="dxa"/>
            <w:vAlign w:val="bottom"/>
          </w:tcPr>
          <w:p>
            <w:pPr>
              <w:ind w:left="700"/>
              <w:spacing w:after="0"/>
              <w:rPr>
                <w:sz w:val="20"/>
                <w:szCs w:val="20"/>
                <w:color w:val="auto"/>
              </w:rPr>
            </w:pPr>
            <w:r>
              <w:rPr>
                <w:rFonts w:ascii="Arial" w:cs="Arial" w:eastAsia="Arial" w:hAnsi="Arial"/>
                <w:sz w:val="18"/>
                <w:szCs w:val="18"/>
                <w:color w:val="auto"/>
              </w:rPr>
              <w:t>Everett, WA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Jacksonville, FL</w:t>
            </w:r>
          </w:p>
        </w:tc>
        <w:tc>
          <w:tcPr>
            <w:tcW w:w="2780" w:type="dxa"/>
            <w:vAlign w:val="bottom"/>
          </w:tcPr>
          <w:p>
            <w:pPr>
              <w:ind w:left="520"/>
              <w:spacing w:after="0"/>
              <w:rPr>
                <w:sz w:val="20"/>
                <w:szCs w:val="20"/>
                <w:color w:val="auto"/>
              </w:rPr>
            </w:pPr>
            <w:r>
              <w:rPr>
                <w:rFonts w:ascii="Arial" w:cs="Arial" w:eastAsia="Arial" w:hAnsi="Arial"/>
                <w:sz w:val="18"/>
                <w:szCs w:val="18"/>
                <w:color w:val="auto"/>
              </w:rPr>
              <w:t>Eagan, MN</w:t>
            </w:r>
          </w:p>
        </w:tc>
        <w:tc>
          <w:tcPr>
            <w:tcW w:w="2740" w:type="dxa"/>
            <w:vAlign w:val="bottom"/>
          </w:tcPr>
          <w:p>
            <w:pPr>
              <w:ind w:left="580"/>
              <w:spacing w:after="0"/>
              <w:rPr>
                <w:sz w:val="20"/>
                <w:szCs w:val="20"/>
                <w:color w:val="auto"/>
              </w:rPr>
            </w:pPr>
            <w:r>
              <w:rPr>
                <w:rFonts w:ascii="Arial" w:cs="Arial" w:eastAsia="Arial" w:hAnsi="Arial"/>
                <w:sz w:val="18"/>
                <w:szCs w:val="18"/>
                <w:color w:val="auto"/>
              </w:rPr>
              <w:t>Oklahoma City, OK</w:t>
            </w:r>
          </w:p>
        </w:tc>
        <w:tc>
          <w:tcPr>
            <w:tcW w:w="2340" w:type="dxa"/>
            <w:vAlign w:val="bottom"/>
          </w:tcPr>
          <w:p>
            <w:pPr>
              <w:ind w:left="700"/>
              <w:spacing w:after="0"/>
              <w:rPr>
                <w:sz w:val="20"/>
                <w:szCs w:val="20"/>
                <w:color w:val="auto"/>
              </w:rPr>
            </w:pPr>
            <w:r>
              <w:rPr>
                <w:rFonts w:ascii="Arial" w:cs="Arial" w:eastAsia="Arial" w:hAnsi="Arial"/>
                <w:sz w:val="18"/>
                <w:szCs w:val="18"/>
                <w:color w:val="auto"/>
              </w:rPr>
              <w:t>Kennewick, WA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Melbourne, FL</w:t>
            </w:r>
          </w:p>
        </w:tc>
        <w:tc>
          <w:tcPr>
            <w:tcW w:w="2780" w:type="dxa"/>
            <w:vAlign w:val="bottom"/>
          </w:tcPr>
          <w:p>
            <w:pPr>
              <w:ind w:left="520"/>
              <w:spacing w:after="0"/>
              <w:rPr>
                <w:sz w:val="20"/>
                <w:szCs w:val="20"/>
                <w:color w:val="auto"/>
              </w:rPr>
            </w:pPr>
            <w:r>
              <w:rPr>
                <w:rFonts w:ascii="Arial" w:cs="Arial" w:eastAsia="Arial" w:hAnsi="Arial"/>
                <w:sz w:val="18"/>
                <w:szCs w:val="18"/>
                <w:color w:val="auto"/>
              </w:rPr>
              <w:t>Roseville, MN</w:t>
            </w:r>
          </w:p>
        </w:tc>
        <w:tc>
          <w:tcPr>
            <w:tcW w:w="2740" w:type="dxa"/>
            <w:vAlign w:val="bottom"/>
          </w:tcPr>
          <w:p>
            <w:pPr>
              <w:ind w:left="580"/>
              <w:spacing w:after="0"/>
              <w:rPr>
                <w:sz w:val="20"/>
                <w:szCs w:val="20"/>
                <w:color w:val="auto"/>
              </w:rPr>
            </w:pPr>
            <w:r>
              <w:rPr>
                <w:rFonts w:ascii="Arial" w:cs="Arial" w:eastAsia="Arial" w:hAnsi="Arial"/>
                <w:sz w:val="18"/>
                <w:szCs w:val="18"/>
                <w:color w:val="auto"/>
              </w:rPr>
              <w:t>Bend, OR</w:t>
            </w:r>
          </w:p>
        </w:tc>
        <w:tc>
          <w:tcPr>
            <w:tcW w:w="2340" w:type="dxa"/>
            <w:vAlign w:val="bottom"/>
          </w:tcPr>
          <w:p>
            <w:pPr>
              <w:ind w:left="700"/>
              <w:spacing w:after="0"/>
              <w:rPr>
                <w:sz w:val="20"/>
                <w:szCs w:val="20"/>
                <w:color w:val="auto"/>
              </w:rPr>
            </w:pPr>
            <w:r>
              <w:rPr>
                <w:rFonts w:ascii="Arial" w:cs="Arial" w:eastAsia="Arial" w:hAnsi="Arial"/>
                <w:sz w:val="18"/>
                <w:szCs w:val="18"/>
                <w:color w:val="auto"/>
                <w:w w:val="98"/>
              </w:rPr>
              <w:t>Spokane Valley, WA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Miramar, FL</w:t>
            </w:r>
          </w:p>
        </w:tc>
        <w:tc>
          <w:tcPr>
            <w:tcW w:w="2780" w:type="dxa"/>
            <w:vAlign w:val="bottom"/>
          </w:tcPr>
          <w:p>
            <w:pPr>
              <w:ind w:left="520"/>
              <w:spacing w:after="0"/>
              <w:rPr>
                <w:sz w:val="20"/>
                <w:szCs w:val="20"/>
                <w:color w:val="auto"/>
              </w:rPr>
            </w:pPr>
            <w:r>
              <w:rPr>
                <w:rFonts w:ascii="Arial" w:cs="Arial" w:eastAsia="Arial" w:hAnsi="Arial"/>
                <w:sz w:val="18"/>
                <w:szCs w:val="18"/>
                <w:color w:val="auto"/>
              </w:rPr>
              <w:t>Sauk Rapids, MN</w:t>
            </w:r>
          </w:p>
        </w:tc>
        <w:tc>
          <w:tcPr>
            <w:tcW w:w="2740" w:type="dxa"/>
            <w:vAlign w:val="bottom"/>
          </w:tcPr>
          <w:p>
            <w:pPr>
              <w:ind w:left="580"/>
              <w:spacing w:after="0"/>
              <w:rPr>
                <w:sz w:val="20"/>
                <w:szCs w:val="20"/>
                <w:color w:val="auto"/>
              </w:rPr>
            </w:pPr>
            <w:r>
              <w:rPr>
                <w:rFonts w:ascii="Arial" w:cs="Arial" w:eastAsia="Arial" w:hAnsi="Arial"/>
                <w:sz w:val="18"/>
                <w:szCs w:val="18"/>
                <w:color w:val="auto"/>
              </w:rPr>
              <w:t>Portland, OR</w:t>
            </w:r>
          </w:p>
        </w:tc>
        <w:tc>
          <w:tcPr>
            <w:tcW w:w="2340" w:type="dxa"/>
            <w:vAlign w:val="bottom"/>
          </w:tcPr>
          <w:p>
            <w:pPr>
              <w:ind w:left="700"/>
              <w:spacing w:after="0"/>
              <w:rPr>
                <w:sz w:val="20"/>
                <w:szCs w:val="20"/>
                <w:color w:val="auto"/>
              </w:rPr>
            </w:pPr>
            <w:r>
              <w:rPr>
                <w:rFonts w:ascii="Arial" w:cs="Arial" w:eastAsia="Arial" w:hAnsi="Arial"/>
                <w:sz w:val="18"/>
                <w:szCs w:val="18"/>
                <w:color w:val="auto"/>
              </w:rPr>
              <w:t>Tukwila, WA</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St. Petersburg, FL</w:t>
            </w:r>
          </w:p>
        </w:tc>
        <w:tc>
          <w:tcPr>
            <w:tcW w:w="2780" w:type="dxa"/>
            <w:vAlign w:val="bottom"/>
          </w:tcPr>
          <w:p>
            <w:pPr>
              <w:ind w:left="520"/>
              <w:spacing w:after="0"/>
              <w:rPr>
                <w:sz w:val="20"/>
                <w:szCs w:val="20"/>
                <w:color w:val="auto"/>
              </w:rPr>
            </w:pPr>
            <w:r>
              <w:rPr>
                <w:rFonts w:ascii="Arial" w:cs="Arial" w:eastAsia="Arial" w:hAnsi="Arial"/>
                <w:sz w:val="18"/>
                <w:szCs w:val="18"/>
                <w:color w:val="auto"/>
              </w:rPr>
              <w:t>Columbia, MO</w:t>
            </w:r>
          </w:p>
        </w:tc>
        <w:tc>
          <w:tcPr>
            <w:tcW w:w="2740" w:type="dxa"/>
            <w:vAlign w:val="bottom"/>
          </w:tcPr>
          <w:p>
            <w:pPr>
              <w:ind w:left="580"/>
              <w:spacing w:after="0"/>
              <w:rPr>
                <w:sz w:val="20"/>
                <w:szCs w:val="20"/>
                <w:color w:val="auto"/>
              </w:rPr>
            </w:pPr>
            <w:r>
              <w:rPr>
                <w:rFonts w:ascii="Arial" w:cs="Arial" w:eastAsia="Arial" w:hAnsi="Arial"/>
                <w:sz w:val="18"/>
                <w:szCs w:val="18"/>
                <w:color w:val="auto"/>
              </w:rPr>
              <w:t>Audubon, PA</w:t>
            </w:r>
          </w:p>
        </w:tc>
        <w:tc>
          <w:tcPr>
            <w:tcW w:w="2340" w:type="dxa"/>
            <w:vAlign w:val="bottom"/>
          </w:tcPr>
          <w:p>
            <w:pPr>
              <w:ind w:left="700"/>
              <w:spacing w:after="0"/>
              <w:rPr>
                <w:sz w:val="20"/>
                <w:szCs w:val="20"/>
                <w:color w:val="auto"/>
              </w:rPr>
            </w:pPr>
            <w:r>
              <w:rPr>
                <w:rFonts w:ascii="Arial" w:cs="Arial" w:eastAsia="Arial" w:hAnsi="Arial"/>
                <w:sz w:val="18"/>
                <w:szCs w:val="18"/>
                <w:color w:val="auto"/>
              </w:rPr>
              <w:t>Wauwatosa, WI</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Tampa, FL</w:t>
            </w:r>
          </w:p>
        </w:tc>
        <w:tc>
          <w:tcPr>
            <w:tcW w:w="2780" w:type="dxa"/>
            <w:vAlign w:val="bottom"/>
          </w:tcPr>
          <w:p>
            <w:pPr>
              <w:ind w:left="520"/>
              <w:spacing w:after="0"/>
              <w:rPr>
                <w:sz w:val="20"/>
                <w:szCs w:val="20"/>
                <w:color w:val="auto"/>
              </w:rPr>
            </w:pPr>
            <w:r>
              <w:rPr>
                <w:rFonts w:ascii="Arial" w:cs="Arial" w:eastAsia="Arial" w:hAnsi="Arial"/>
                <w:sz w:val="18"/>
                <w:szCs w:val="18"/>
                <w:color w:val="auto"/>
              </w:rPr>
              <w:t>Fenton, MO</w:t>
            </w:r>
          </w:p>
        </w:tc>
        <w:tc>
          <w:tcPr>
            <w:tcW w:w="2740" w:type="dxa"/>
            <w:vAlign w:val="bottom"/>
          </w:tcPr>
          <w:p>
            <w:pPr>
              <w:ind w:left="580"/>
              <w:spacing w:after="0"/>
              <w:rPr>
                <w:sz w:val="20"/>
                <w:szCs w:val="20"/>
                <w:color w:val="auto"/>
              </w:rPr>
            </w:pPr>
            <w:r>
              <w:rPr>
                <w:rFonts w:ascii="Arial" w:cs="Arial" w:eastAsia="Arial" w:hAnsi="Arial"/>
                <w:sz w:val="18"/>
                <w:szCs w:val="18"/>
                <w:color w:val="auto"/>
              </w:rPr>
              <w:t>Dunmore, PA</w:t>
            </w:r>
          </w:p>
        </w:tc>
        <w:tc>
          <w:tcPr>
            <w:tcW w:w="2340" w:type="dxa"/>
            <w:vAlign w:val="bottom"/>
          </w:tcPr>
          <w:p>
            <w:pPr>
              <w:ind w:left="700"/>
              <w:spacing w:after="0"/>
              <w:rPr>
                <w:sz w:val="20"/>
                <w:szCs w:val="20"/>
                <w:color w:val="auto"/>
              </w:rPr>
            </w:pPr>
            <w:r>
              <w:rPr>
                <w:rFonts w:ascii="Arial" w:cs="Arial" w:eastAsia="Arial" w:hAnsi="Arial"/>
                <w:sz w:val="18"/>
                <w:szCs w:val="18"/>
                <w:color w:val="auto"/>
              </w:rPr>
              <w:t>Charleston, WV</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Albany, GA</w:t>
            </w:r>
          </w:p>
        </w:tc>
        <w:tc>
          <w:tcPr>
            <w:tcW w:w="2780" w:type="dxa"/>
            <w:vAlign w:val="bottom"/>
          </w:tcPr>
          <w:p>
            <w:pPr>
              <w:ind w:left="520"/>
              <w:spacing w:after="0"/>
              <w:rPr>
                <w:sz w:val="20"/>
                <w:szCs w:val="20"/>
                <w:color w:val="auto"/>
              </w:rPr>
            </w:pPr>
            <w:r>
              <w:rPr>
                <w:rFonts w:ascii="Arial" w:cs="Arial" w:eastAsia="Arial" w:hAnsi="Arial"/>
                <w:sz w:val="18"/>
                <w:szCs w:val="18"/>
                <w:color w:val="auto"/>
              </w:rPr>
              <w:t>Pearl, MS</w:t>
            </w:r>
          </w:p>
        </w:tc>
        <w:tc>
          <w:tcPr>
            <w:tcW w:w="2740" w:type="dxa"/>
            <w:vAlign w:val="bottom"/>
          </w:tcPr>
          <w:p>
            <w:pPr>
              <w:ind w:left="580"/>
              <w:spacing w:after="0"/>
              <w:rPr>
                <w:sz w:val="20"/>
                <w:szCs w:val="20"/>
                <w:color w:val="auto"/>
              </w:rPr>
            </w:pPr>
            <w:r>
              <w:rPr>
                <w:rFonts w:ascii="Arial" w:cs="Arial" w:eastAsia="Arial" w:hAnsi="Arial"/>
                <w:sz w:val="18"/>
                <w:szCs w:val="18"/>
                <w:color w:val="auto"/>
              </w:rPr>
              <w:t>Monroeville, PA</w:t>
            </w:r>
          </w:p>
        </w:tc>
        <w:tc>
          <w:tcPr>
            <w:tcW w:w="2340" w:type="dxa"/>
            <w:vAlign w:val="bottom"/>
          </w:tcPr>
          <w:p>
            <w:pPr>
              <w:ind w:left="700"/>
              <w:spacing w:after="0"/>
              <w:rPr>
                <w:sz w:val="20"/>
                <w:szCs w:val="20"/>
                <w:color w:val="auto"/>
              </w:rPr>
            </w:pPr>
            <w:r>
              <w:rPr>
                <w:rFonts w:ascii="Arial" w:cs="Arial" w:eastAsia="Arial" w:hAnsi="Arial"/>
                <w:sz w:val="18"/>
                <w:szCs w:val="18"/>
                <w:color w:val="auto"/>
              </w:rPr>
              <w:t>Fairmont, WV</w:t>
            </w:r>
          </w:p>
        </w:tc>
      </w:tr>
    </w:tbl>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ind w:firstLine="329"/>
        <w:spacing w:after="0" w:line="340" w:lineRule="auto"/>
        <w:rPr>
          <w:sz w:val="20"/>
          <w:szCs w:val="20"/>
          <w:color w:val="auto"/>
        </w:rPr>
      </w:pPr>
      <w:r>
        <w:rPr>
          <w:rFonts w:ascii="Arial" w:cs="Arial" w:eastAsia="Arial" w:hAnsi="Arial"/>
          <w:sz w:val="18"/>
          <w:szCs w:val="18"/>
          <w:color w:val="auto"/>
        </w:rPr>
        <w:t xml:space="preserve">For a summary of material legal proceedings, if any,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consolidated financial statements included in Item 8 of this report.</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60"/>
        <w:spacing w:after="0" w:line="479"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Common Stock</w:t>
      </w:r>
    </w:p>
    <w:p>
      <w:pPr>
        <w:spacing w:after="0" w:line="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During 2019, our Common Stock, par value $0.0001 per share, was traded on the Nasdaq Capital Market under the symbol “BIOS”. On February 3, 2020, we changed our symbol to “OPCH” and began trading on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 2020, there were 173 stockholders of record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never paid cash dividends on our Common Stock and do not anticipate doing so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 of Unregistered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graph compares the total cumulative returns of BioScrip through August 6, 2019 and Option Care Health from August 7, 2019 through December 31, 2019 with the total cumulative returns of the Nasdaq Composite Index and the Nasdaq Health Services Index for the five-year period from December 31, 2014 through December 31, 2019. The graph shows the performance of a $100 investment in our Common Stock and each index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127635</wp:posOffset>
            </wp:positionV>
            <wp:extent cx="4948555" cy="315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240" w:top="121" w:right="5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37465</wp:posOffset>
            </wp:positionV>
            <wp:extent cx="37388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80"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r>
      <w:tr>
        <w:trPr>
          <w:trHeight w:val="33"/>
        </w:trPr>
        <w:tc>
          <w:tcPr>
            <w:tcW w:w="2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3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Option Care Health, Inc. $</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53.36</w:t>
            </w:r>
          </w:p>
        </w:tc>
      </w:tr>
      <w:tr>
        <w:trPr>
          <w:trHeight w:val="237"/>
        </w:trPr>
        <w:tc>
          <w:tcPr>
            <w:tcW w:w="3000" w:type="dxa"/>
            <w:vAlign w:val="bottom"/>
            <w:gridSpan w:val="2"/>
          </w:tcPr>
          <w:p>
            <w:pPr>
              <w:jc w:val="right"/>
              <w:ind w:right="100"/>
              <w:spacing w:after="0"/>
              <w:rPr>
                <w:sz w:val="20"/>
                <w:szCs w:val="20"/>
                <w:color w:val="auto"/>
              </w:rPr>
            </w:pPr>
            <w:r>
              <w:rPr>
                <w:rFonts w:ascii="Arial" w:cs="Arial" w:eastAsia="Arial" w:hAnsi="Arial"/>
                <w:sz w:val="16"/>
                <w:szCs w:val="16"/>
                <w:color w:val="auto"/>
              </w:rPr>
              <w:t>Nasdaq Composite Index $</w:t>
            </w: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104.81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112.68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144.50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138.89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187.81</w:t>
            </w:r>
          </w:p>
        </w:tc>
      </w:tr>
      <w:tr>
        <w:trPr>
          <w:trHeight w:val="33"/>
        </w:trPr>
        <w:tc>
          <w:tcPr>
            <w:tcW w:w="2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3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Nasdaq Health Services Index $</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129.87</w:t>
            </w:r>
          </w:p>
        </w:tc>
      </w:tr>
      <w:tr>
        <w:trPr>
          <w:trHeight w:val="33"/>
        </w:trPr>
        <w:tc>
          <w:tcPr>
            <w:tcW w:w="2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00" w:hanging="130"/>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invested on December 31, 2014 in stock or index, including reinvestment of dividends.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24</w:t>
      </w:r>
    </w:p>
    <w:p>
      <w:pPr>
        <w:sectPr>
          <w:pgSz w:w="11900" w:h="16838" w:orient="portrait"/>
          <w:cols w:equalWidth="0" w:num="1">
            <w:col w:w="10219"/>
          </w:cols>
          <w:pgMar w:left="240" w:top="121" w:right="1440"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8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The selected consolidated financial data presented below should be read in conjunction with, and is qualified in its entirety by reference to, Management’s Discussion and Analysis of Financial Condition and Results of Operations and our Consolidated Financial Statements and the Notes thereto appearing elsewhere in this Annual Report. The selected consolidated financial data for the years ended December 31, 2019 and 2018 reflect the adoption of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and the selected financial data for the year ended December 31, 2019 reflects the adoption of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Further discussion on the impacts of ASC 606 can be found in Note 4,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and further discussion on the impacts of ASC 842 can be found in Note 8, </w:t>
      </w:r>
      <w:r>
        <w:rPr>
          <w:rFonts w:ascii="Arial" w:cs="Arial" w:eastAsia="Arial" w:hAnsi="Arial"/>
          <w:sz w:val="17"/>
          <w:szCs w:val="17"/>
          <w:i w:val="1"/>
          <w:iCs w:val="1"/>
          <w:color w:val="auto"/>
        </w:rPr>
        <w:t>Leases</w:t>
      </w:r>
      <w:r>
        <w:rPr>
          <w:rFonts w:ascii="Arial" w:cs="Arial" w:eastAsia="Arial" w:hAnsi="Arial"/>
          <w:sz w:val="17"/>
          <w:szCs w:val="17"/>
          <w:color w:val="auto"/>
        </w:rPr>
        <w:t>, within the Consolidated Financial Statements included in Item 8 of this report. The below periods include the results of operations from BioScrip, Inc. from the August 6, 2019 Merger Date onward. Prior to April 7, 2015, Option Care (the “Successor”) was a wholly owned subsidiary of Walgreen Co. operating under the name Walgreens Infusion Services, Inc. ( the Predecessor”). The Consolidated Statements of Comprehensive Income (Loss) presented below include the Predecessor’s results of operations for the period from January 1, 2015 through April 6, 2015 and are demarcated by a black line.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5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(in thousands)</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Sheets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Working capital (1) (2)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228,650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227,428</w:t>
            </w:r>
          </w:p>
        </w:tc>
        <w:tc>
          <w:tcPr>
            <w:tcW w:w="360" w:type="dxa"/>
            <w:vAlign w:val="bottom"/>
          </w:tcPr>
          <w:p>
            <w:pPr>
              <w:ind w:lef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226,535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227,763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229,243</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(2)</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2,589,547</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1,428,211</w:t>
            </w: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1,429,542</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1,405,285</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1,377,275</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Total debt, net</w:t>
            </w:r>
          </w:p>
        </w:tc>
        <w:tc>
          <w:tcPr>
            <w:tcW w:w="2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1,286,496</w:t>
            </w:r>
          </w:p>
        </w:tc>
        <w:tc>
          <w:tcPr>
            <w:tcW w:w="3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539,375</w:t>
            </w:r>
          </w:p>
        </w:tc>
        <w:tc>
          <w:tcPr>
            <w:tcW w:w="3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540,346</w:t>
            </w:r>
          </w:p>
        </w:tc>
        <w:tc>
          <w:tcPr>
            <w:tcW w:w="3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541,500</w:t>
            </w:r>
          </w:p>
        </w:tc>
        <w:tc>
          <w:tcPr>
            <w:tcW w:w="3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542,888</w:t>
            </w: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906,827</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602,825</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606,105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600,770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596,121</w:t>
            </w:r>
          </w:p>
        </w:tc>
      </w:tr>
      <w:tr>
        <w:trPr>
          <w:trHeight w:val="33"/>
        </w:trPr>
        <w:tc>
          <w:tcPr>
            <w:tcW w:w="5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consists of total current assets less total current liabilities.</w:t>
      </w:r>
    </w:p>
    <w:p>
      <w:pPr>
        <w:spacing w:after="0" w:line="184" w:lineRule="exact"/>
        <w:rPr>
          <w:rFonts w:ascii="Arial" w:cs="Arial" w:eastAsia="Arial" w:hAnsi="Arial"/>
          <w:sz w:val="18"/>
          <w:szCs w:val="18"/>
          <w:color w:val="auto"/>
        </w:rPr>
      </w:pPr>
    </w:p>
    <w:p>
      <w:pPr>
        <w:ind w:right="800" w:firstLine="332"/>
        <w:spacing w:after="0" w:line="342" w:lineRule="auto"/>
        <w:tabs>
          <w:tab w:leader="none" w:pos="57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Working capital and total assets for the year ended December 31, 2019 reflect the adoption of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are, therefore, not comparable to prior periods. For a full discussion on the impacts of the adoption see Note 8. </w:t>
      </w:r>
      <w:r>
        <w:rPr>
          <w:rFonts w:ascii="Arial" w:cs="Arial" w:eastAsia="Arial" w:hAnsi="Arial"/>
          <w:sz w:val="16"/>
          <w:szCs w:val="16"/>
          <w:i w:val="1"/>
          <w:iCs w:val="1"/>
          <w:color w:val="auto"/>
        </w:rPr>
        <w:t>Leases</w:t>
      </w:r>
      <w:r>
        <w:rPr>
          <w:rFonts w:ascii="Arial" w:cs="Arial" w:eastAsia="Arial" w:hAnsi="Arial"/>
          <w:sz w:val="16"/>
          <w:szCs w:val="16"/>
          <w:color w:val="auto"/>
        </w:rPr>
        <w:t>, included in Item 8 of this report.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60" w:type="dxa"/>
            <w:vAlign w:val="bottom"/>
            <w:gridSpan w:val="5"/>
          </w:tcPr>
          <w:p>
            <w:pPr>
              <w:jc w:val="right"/>
              <w:ind w:right="1319"/>
              <w:spacing w:after="0"/>
              <w:rPr>
                <w:sz w:val="20"/>
                <w:szCs w:val="20"/>
                <w:color w:val="auto"/>
              </w:rPr>
            </w:pPr>
            <w:r>
              <w:rPr>
                <w:rFonts w:ascii="Arial" w:cs="Arial" w:eastAsia="Arial" w:hAnsi="Arial"/>
                <w:sz w:val="16"/>
                <w:szCs w:val="16"/>
                <w:b w:val="1"/>
                <w:bCs w:val="1"/>
                <w:color w:val="auto"/>
              </w:rPr>
              <w:t>Periods Ended</w:t>
            </w:r>
          </w:p>
        </w:tc>
      </w:tr>
      <w:tr>
        <w:trPr>
          <w:trHeight w:val="33"/>
        </w:trPr>
        <w:tc>
          <w:tcPr>
            <w:tcW w:w="2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3"/>
              </w:rPr>
              <w:t>Successor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139"/>
              <w:spacing w:after="0"/>
              <w:rPr>
                <w:sz w:val="20"/>
                <w:szCs w:val="20"/>
                <w:color w:val="auto"/>
              </w:rPr>
            </w:pPr>
            <w:r>
              <w:rPr>
                <w:rFonts w:ascii="Arial" w:cs="Arial" w:eastAsia="Arial" w:hAnsi="Arial"/>
                <w:sz w:val="16"/>
                <w:szCs w:val="16"/>
                <w:b w:val="1"/>
                <w:bCs w:val="1"/>
                <w:color w:val="auto"/>
                <w:w w:val="85"/>
              </w:rPr>
              <w:t>Predecessor</w:t>
            </w:r>
          </w:p>
        </w:tc>
      </w:tr>
      <w:tr>
        <w:trPr>
          <w:trHeight w:val="33"/>
        </w:trPr>
        <w:tc>
          <w:tcPr>
            <w:tcW w:w="2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6"/>
              </w:rPr>
              <w:t>April 7, 2015 -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January 1, 2015 -</w:t>
            </w:r>
          </w:p>
        </w:tc>
      </w:tr>
      <w:tr>
        <w:trPr>
          <w:trHeight w:val="210"/>
        </w:trPr>
        <w:tc>
          <w:tcPr>
            <w:tcW w:w="298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 xml:space="preserve">2019 </w:t>
            </w:r>
            <w:r>
              <w:rPr>
                <w:rFonts w:ascii="Arial" w:cs="Arial" w:eastAsia="Arial" w:hAnsi="Arial"/>
                <w:sz w:val="16"/>
                <w:szCs w:val="16"/>
                <w:color w:val="auto"/>
              </w:rPr>
              <w:t>(1)</w:t>
            </w:r>
          </w:p>
        </w:tc>
        <w:tc>
          <w:tcPr>
            <w:tcW w:w="11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1"/>
              </w:rPr>
              <w:t>December 31, 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April 6, 2015</w:t>
            </w:r>
          </w:p>
        </w:tc>
      </w:tr>
      <w:tr>
        <w:trPr>
          <w:trHeight w:val="33"/>
        </w:trPr>
        <w:tc>
          <w:tcPr>
            <w:tcW w:w="2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w:t>
            </w: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3"/>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r>
      <w:tr>
        <w:trPr>
          <w:trHeight w:val="224"/>
        </w:trPr>
        <w:tc>
          <w:tcPr>
            <w:tcW w:w="2980" w:type="dxa"/>
            <w:vAlign w:val="bottom"/>
          </w:tcPr>
          <w:p>
            <w:pPr>
              <w:ind w:left="40"/>
              <w:spacing w:after="0"/>
              <w:rPr>
                <w:sz w:val="20"/>
                <w:szCs w:val="20"/>
                <w:color w:val="auto"/>
              </w:rPr>
            </w:pPr>
            <w:r>
              <w:rPr>
                <w:rFonts w:ascii="Arial" w:cs="Arial" w:eastAsia="Arial" w:hAnsi="Arial"/>
                <w:sz w:val="16"/>
                <w:szCs w:val="16"/>
                <w:color w:val="auto"/>
              </w:rPr>
              <w:t>Net revenue (2)</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  2,310,417</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  1,939,791</w:t>
            </w:r>
          </w:p>
        </w:tc>
        <w:tc>
          <w:tcPr>
            <w:tcW w:w="1060" w:type="dxa"/>
            <w:vAlign w:val="bottom"/>
          </w:tcPr>
          <w:p>
            <w:pPr>
              <w:jc w:val="right"/>
              <w:spacing w:after="0"/>
              <w:rPr>
                <w:sz w:val="20"/>
                <w:szCs w:val="20"/>
                <w:color w:val="auto"/>
              </w:rPr>
            </w:pPr>
            <w:r>
              <w:rPr>
                <w:rFonts w:ascii="Arial" w:cs="Arial" w:eastAsia="Arial" w:hAnsi="Arial"/>
                <w:sz w:val="16"/>
                <w:szCs w:val="16"/>
                <w:color w:val="auto"/>
              </w:rPr>
              <w:t>$  1,828,046</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  1,711,438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1,163,009</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379,672</w:t>
            </w:r>
          </w:p>
        </w:tc>
      </w:tr>
      <w:tr>
        <w:trPr>
          <w:trHeight w:val="33"/>
        </w:trPr>
        <w:tc>
          <w:tcPr>
            <w:tcW w:w="2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 (2)</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512,999</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422,215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445,999</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449,307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312,597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96,518</w:t>
            </w:r>
          </w:p>
        </w:tc>
      </w:tr>
      <w:tr>
        <w:trPr>
          <w:trHeight w:val="224"/>
        </w:trPr>
        <w:tc>
          <w:tcPr>
            <w:tcW w:w="298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38,269</w:t>
            </w:r>
          </w:p>
        </w:tc>
        <w:tc>
          <w:tcPr>
            <w:tcW w:w="1060" w:type="dxa"/>
            <w:vAlign w:val="bottom"/>
          </w:tcPr>
          <w:p>
            <w:pPr>
              <w:jc w:val="right"/>
              <w:spacing w:after="0"/>
              <w:rPr>
                <w:sz w:val="20"/>
                <w:szCs w:val="20"/>
                <w:color w:val="auto"/>
              </w:rPr>
            </w:pPr>
            <w:r>
              <w:rPr>
                <w:rFonts w:ascii="Arial" w:cs="Arial" w:eastAsia="Arial" w:hAnsi="Arial"/>
                <w:sz w:val="16"/>
                <w:szCs w:val="16"/>
                <w:color w:val="auto"/>
              </w:rPr>
              <w:t>27,279</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52,448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6,129</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(1,721)</w:t>
            </w:r>
          </w:p>
        </w:tc>
      </w:tr>
      <w:tr>
        <w:trPr>
          <w:trHeight w:val="33"/>
        </w:trPr>
        <w:tc>
          <w:tcPr>
            <w:tcW w:w="2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(75,920)</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3,878</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(5,761)</w:t>
            </w:r>
          </w:p>
        </w:tc>
      </w:tr>
      <w:tr>
        <w:trPr>
          <w:trHeight w:val="224"/>
        </w:trPr>
        <w:tc>
          <w:tcPr>
            <w:tcW w:w="2980" w:type="dxa"/>
            <w:vAlign w:val="bottom"/>
          </w:tcPr>
          <w:p>
            <w:pPr>
              <w:ind w:left="40"/>
              <w:spacing w:after="0"/>
              <w:rPr>
                <w:sz w:val="20"/>
                <w:szCs w:val="20"/>
                <w:color w:val="auto"/>
              </w:rPr>
            </w:pPr>
            <w:r>
              <w:rPr>
                <w:rFonts w:ascii="Arial" w:cs="Arial" w:eastAsia="Arial" w:hAnsi="Arial"/>
                <w:sz w:val="16"/>
                <w:szCs w:val="16"/>
                <w:color w:val="auto"/>
              </w:rPr>
              <w:t>Net comprehensive income (loss)</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(83,959)</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(5,341)</w:t>
            </w:r>
          </w:p>
        </w:tc>
        <w:tc>
          <w:tcPr>
            <w:tcW w:w="1060" w:type="dxa"/>
            <w:vAlign w:val="bottom"/>
          </w:tcPr>
          <w:p>
            <w:pPr>
              <w:jc w:val="right"/>
              <w:spacing w:after="0"/>
              <w:rPr>
                <w:sz w:val="20"/>
                <w:szCs w:val="20"/>
                <w:color w:val="auto"/>
              </w:rPr>
            </w:pPr>
            <w:r>
              <w:rPr>
                <w:rFonts w:ascii="Arial" w:cs="Arial" w:eastAsia="Arial" w:hAnsi="Arial"/>
                <w:sz w:val="16"/>
                <w:szCs w:val="16"/>
                <w:color w:val="auto"/>
              </w:rPr>
              <w:t>3,936</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(17,696)</w:t>
            </w: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(5,761)</w:t>
            </w:r>
          </w:p>
        </w:tc>
      </w:tr>
      <w:tr>
        <w:trPr>
          <w:trHeight w:val="33"/>
        </w:trPr>
        <w:tc>
          <w:tcPr>
            <w:tcW w:w="2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share, basic and</w:t>
            </w: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1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(3)</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Weighted average common shares</w:t>
            </w: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outstanding, basic and diluted (3)</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156,280</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142,614</w:t>
            </w:r>
          </w:p>
        </w:tc>
        <w:tc>
          <w:tcPr>
            <w:tcW w:w="1060" w:type="dxa"/>
            <w:vAlign w:val="bottom"/>
          </w:tcPr>
          <w:p>
            <w:pPr>
              <w:jc w:val="right"/>
              <w:spacing w:after="0"/>
              <w:rPr>
                <w:sz w:val="20"/>
                <w:szCs w:val="20"/>
                <w:color w:val="auto"/>
              </w:rPr>
            </w:pPr>
            <w:r>
              <w:rPr>
                <w:rFonts w:ascii="Arial" w:cs="Arial" w:eastAsia="Arial" w:hAnsi="Arial"/>
                <w:sz w:val="16"/>
                <w:szCs w:val="16"/>
                <w:color w:val="auto"/>
              </w:rPr>
              <w:t>142,614</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142,614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142,614</w:t>
            </w:r>
          </w:p>
        </w:tc>
        <w:tc>
          <w:tcPr>
            <w:tcW w:w="1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3"/>
        </w:trPr>
        <w:tc>
          <w:tcPr>
            <w:tcW w:w="2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bl>
    <w:p>
      <w:pPr>
        <w:spacing w:after="0" w:line="161"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2019 includes the results of operations of BioScrip from August 6, 2019 onward and are, therefore, not comparable to prior periods.</w:t>
      </w:r>
    </w:p>
    <w:p>
      <w:pPr>
        <w:spacing w:after="0" w:line="184" w:lineRule="exact"/>
        <w:rPr>
          <w:rFonts w:ascii="Arial" w:cs="Arial" w:eastAsia="Arial" w:hAnsi="Arial"/>
          <w:sz w:val="18"/>
          <w:szCs w:val="18"/>
          <w:color w:val="auto"/>
        </w:rPr>
      </w:pPr>
    </w:p>
    <w:p>
      <w:pPr>
        <w:ind w:right="40" w:firstLine="332"/>
        <w:spacing w:after="0" w:line="264" w:lineRule="auto"/>
        <w:tabs>
          <w:tab w:leader="none" w:pos="5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Net revenue and gross profit for the years ended December 31, 2019 and 2018 reflect the adoption of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and are, therefore, not comparable to prior periods. For a full discussion on the impacts of the adoption see Note 4,</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included in Item 8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20" w:firstLine="332"/>
        <w:spacing w:after="0" w:line="264" w:lineRule="auto"/>
        <w:tabs>
          <w:tab w:leader="none" w:pos="5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Predecessor period represents the period prior to the acquisition of Walgreens Infusion Services from Walgreen Co., and therefore no shares of common stock were outstanding. As a result, there is no net income (loss) per share or weighted average common shares outstanding information available for this period.</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is designed to assist the reader in understanding our Consolidated Financial Statements, the changes in certain key items in those financial statements from year-to-year and the primary factors that accounted for those changes as well as how certain accounting principles affect our Consolidated Financial Statements.</w:t>
      </w:r>
    </w:p>
    <w:p>
      <w:pPr>
        <w:spacing w:after="0" w:line="18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Annual Report and specifically under the caption “Forward-Looking Statements” and under “</w:t>
      </w:r>
      <w:r>
        <w:rPr>
          <w:rFonts w:ascii="Arial" w:cs="Arial" w:eastAsia="Arial" w:hAnsi="Arial"/>
          <w:sz w:val="17"/>
          <w:szCs w:val="17"/>
          <w:i w:val="1"/>
          <w:iCs w:val="1"/>
          <w:color w:val="auto"/>
        </w:rPr>
        <w:t>Item 1A. Risk Factors</w:t>
      </w:r>
      <w:r>
        <w:rPr>
          <w:rFonts w:ascii="Arial" w:cs="Arial" w:eastAsia="Arial" w:hAnsi="Arial"/>
          <w:sz w:val="17"/>
          <w:szCs w:val="17"/>
          <w:color w:val="auto"/>
        </w:rPr>
        <w:t>” in this Annual Report. In addition, the following discussion of financial condition and results of operations should be read in conjunction with the Consolidated Financial Statements and Notes thereto appearing in Item 8 in this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158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8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w:t>
      </w:r>
    </w:p>
    <w:p>
      <w:pPr>
        <w:spacing w:after="0" w:line="18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 xml:space="preserve">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stock, par value $0.0001, was listed on the Nasdaq Capital Market as of December 31, 2019. Effective February 3, 2020, the Company was listed on the Nasdaq Global Select Market under the ticker symbol “OPCH”. See Note 3,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Acquisitions</w:t>
      </w:r>
      <w:r>
        <w:rPr>
          <w:rFonts w:ascii="Arial" w:cs="Arial" w:eastAsia="Arial" w:hAnsi="Arial"/>
          <w:sz w:val="17"/>
          <w:szCs w:val="17"/>
          <w:color w:val="auto"/>
        </w:rPr>
        <w:t>, of the consolidated financial statements for further discussion of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Integration Execution</w:t>
      </w:r>
    </w:p>
    <w:p>
      <w:pPr>
        <w:spacing w:after="0" w:line="12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Merger of Option Care and BioScrip into Option Care Health has created an opportunity to realize cost synergies while continuing to drive organic growth in chronic and acute therapies through our expanded national platform. Option Care Health is well-positioned to leverage the investments in corporate infrastructure and drive economies of scale as a result of the Merger. The forecasted synergy categories are as follows:</w:t>
      </w:r>
    </w:p>
    <w:p>
      <w:pPr>
        <w:spacing w:after="0" w:line="57" w:lineRule="exact"/>
        <w:rPr>
          <w:sz w:val="20"/>
          <w:szCs w:val="20"/>
          <w:color w:val="auto"/>
        </w:rPr>
      </w:pPr>
    </w:p>
    <w:p>
      <w:pPr>
        <w:ind w:left="1300" w:right="40" w:hanging="320"/>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General and Administrative Expenses Savings. Merged corporate infrastructure has created significant opportunity for streamlining corporate and administrative costs, including headcount and functional spend.</w:t>
      </w:r>
    </w:p>
    <w:p>
      <w:pPr>
        <w:spacing w:after="0" w:line="1" w:lineRule="exact"/>
        <w:rPr>
          <w:rFonts w:ascii="Arial" w:cs="Arial" w:eastAsia="Arial" w:hAnsi="Arial"/>
          <w:sz w:val="18"/>
          <w:szCs w:val="18"/>
          <w:color w:val="auto"/>
        </w:rPr>
      </w:pPr>
    </w:p>
    <w:p>
      <w:pPr>
        <w:ind w:left="1300" w:right="42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Network Optimization. The previous investments in technology and compounding pharmacies, along with the overlapping geographic footprint, allow for facility rationalization and the optimization of assets.</w:t>
      </w:r>
    </w:p>
    <w:p>
      <w:pPr>
        <w:ind w:left="1300" w:right="120" w:hanging="320"/>
        <w:spacing w:after="0" w:line="25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Procurement Savings. The enhanced scale of the Company generates supply chain efficiencies through increased purchasing leverage. The Company’s platform is also positioned to be the partner of choice for pharmaceutical manufacturers seeking innovative distribution channels and patient support models to access the market.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believe the achievement of these synergies will enable the delivery of high-quality, cost-effective solutions to providers across the country and help facilitate the introduction of new therapies to the marketplace while improving the profitability profile of the Company.</w:t>
      </w:r>
    </w:p>
    <w:p>
      <w:pPr>
        <w:spacing w:after="0" w:line="17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Since the Merger, we have worked to align our field and sales teams. We have also made strides at combining our procurement processes and contracts, all while continuing to focus on serving our patients. Patient health is personal to us, which is why, throughout the integration process, we strive to improve and set the standard for quality care that is matched by best-in-class service. After completion of the Merger, we have additional resources to invest in our people, processes and systems, providing us improved strength and scale to drive better patient outcomes.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Medicare Reimbursement</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recent years, legislative changes have resulted in reductions in reimbursement under government healthcare programs. In December 2016, the Cures Act legislation was signed into law, which decreased reimbursement for Medicare Part B Durable Medical Equipment infusion drugs administered in an alternate site setting effective January 1, 2017. The original legislation did not provide for reimbursement for the service component until 2021. Center for Medicare and Medicaid Services issued a final rule in October 2018 implementing a temporary transition benefit for Medicare Part B home infusion services, which will continue from January 1, 2019 until January 1, 2021. This temporary transition benefit defines professional services as only including nursing, and not pharmacy, care planning, care coordination, or monitoring, and only pays for an infusion day when the nurse is in the home.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has made strategic acquisitions to expand both its national footprint as well as its service line offering. These acquisitions are comprised of the following:</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 xml:space="preserve">Option Care merged with BioScrip on August 6, 2019. BioScrip was a national provider of infusion and home care management, who partnered with physicians, hospital systems, payers, pharmaceutical manufacturers and skilled nursing facilities to provide patients access to post-acute care services. The fair value of purchase consideration transferred, net of cash acquired, on the closing date of $1,087.2 million includes the value of the number of shares of the combined company to be owned by BioScrip shareholders at closing of the Merger, the value of common shares to be issued to certain warrant and preferred shareholders in conjunction with the Merger, the value of stock-based instruments that were vested or earned as of the Merger, and cash payments made in conjunction with the Merger. The fair value per share of BioScrip’s common stock was $2.67 per share on August 6, 2019. For additional information on this transaction, see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xml:space="preserve"> of the consolidated financial statements.</w:t>
      </w:r>
    </w:p>
    <w:p>
      <w:pPr>
        <w:spacing w:after="0" w:line="178"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September 2018, we completed the acquisition of 100% of the outstanding shares of Home I.V. Specialists, Inc. (“Home IV”), for a purchase price of $11.6 million, net of cash acquired. The Home IV acquisition expands our presence in Arkansas as we acquired Home IV’s three pharmacy locations in that state.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years ended December 31, 2019, 2018 and 2017. The BioScrip results have been included since the August 6, 2019 Merger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Infusion and related health care services revenue is reported at the estimated net realizable amounts from third-party payers and patients for goods sold and services rendered. When pharmaceuticals are provided to a patient, revenue is recognized upon delivery of the goods. When nursing services are provided, revenue is recognized when the services are rendered.</w:t>
      </w:r>
    </w:p>
    <w:p>
      <w:pPr>
        <w:spacing w:after="0" w:line="18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Cost of revenue consists of the actual cost of pharmaceuticals and other medical supplies dispensed to patients. In addition to product 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87"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47"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Depreciation within this caption includes infrastructure items such as computer hardware and software, office</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leasehold improvements. Depreciation of revenue-generating assets, such as infusion pumps, is included in cost of revenue.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and Second Lien Notes, as well as the amortization of discount and deferred financing fees. Refer to the “Liquidity and Capital Resources” section below for further discussion of these outstanding borrowings.</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third-party fees paid in conjunction with our 2019 debt issuance of the Loan Facilities and Second</w:t>
      </w:r>
      <w:r>
        <w:rPr>
          <w:rFonts w:ascii="Arial" w:cs="Arial" w:eastAsia="Arial" w:hAnsi="Arial"/>
          <w:sz w:val="18"/>
          <w:szCs w:val="18"/>
          <w:i w:val="1"/>
          <w:iCs w:val="1"/>
          <w:color w:val="auto"/>
        </w:rPr>
        <w:t xml:space="preserve"> </w:t>
      </w:r>
      <w:r>
        <w:rPr>
          <w:rFonts w:ascii="Arial" w:cs="Arial" w:eastAsia="Arial" w:hAnsi="Arial"/>
          <w:sz w:val="18"/>
          <w:szCs w:val="18"/>
          <w:color w:val="auto"/>
        </w:rPr>
        <w:t>Lien Notes and loss on extinguishment of debt for the Company’s Previous Credit Facilities.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The Company is subject to taxation in the United States and various states. The Company’s income tax (benefit)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is reflective of the current federal tax rates.</w:t>
      </w:r>
    </w:p>
    <w:p>
      <w:pPr>
        <w:spacing w:after="0" w:line="170"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i w:val="1"/>
          <w:iCs w:val="1"/>
          <w:color w:val="auto"/>
        </w:rPr>
        <w:t>Change in unrealized (losses) gains on cash flow hedges, net of income taxes</w:t>
      </w:r>
      <w:r>
        <w:rPr>
          <w:rFonts w:ascii="Arial" w:cs="Arial" w:eastAsia="Arial" w:hAnsi="Arial"/>
          <w:sz w:val="18"/>
          <w:szCs w:val="18"/>
          <w:color w:val="auto"/>
        </w:rPr>
        <w:t>. Change in unrealized (losses) gains on cash flow hedges, net of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consists of the gains and losses associated with the changes in the fair value of hedging instruments related to the interest rate caps and interest rate swaps, net of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The following table presents Option Care Health’s consolidated results of operations for the years ended December 31, 2019, 2018, and 2017 (in thousands):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r>
      <w:tr>
        <w:trPr>
          <w:trHeight w:val="231"/>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 xml:space="preserve">2019 </w:t>
            </w:r>
            <w:r>
              <w:rPr>
                <w:rFonts w:ascii="Arial" w:cs="Arial" w:eastAsia="Arial" w:hAnsi="Arial"/>
                <w:sz w:val="16"/>
                <w:szCs w:val="16"/>
                <w:color w:val="auto"/>
              </w:rPr>
              <w:t>(1)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w w:val="84"/>
              </w:rPr>
              <w:t>2017</w:t>
            </w:r>
          </w:p>
        </w:tc>
      </w:tr>
      <w:tr>
        <w:trPr>
          <w:trHeight w:val="33"/>
        </w:trPr>
        <w:tc>
          <w:tcPr>
            <w:tcW w:w="4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 of</w:t>
            </w:r>
          </w:p>
        </w:tc>
      </w:tr>
      <w:tr>
        <w:trPr>
          <w:trHeight w:val="210"/>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Revenue</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2,310,417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1,939,791</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1,828,046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48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1,797,418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1,517,576</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78.2 %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1,382,047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75.6 %</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3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512,999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422,215</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445,999</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24.4 %</w:t>
            </w:r>
          </w:p>
        </w:tc>
      </w:tr>
      <w:tr>
        <w:trPr>
          <w:trHeight w:val="297"/>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480" w:type="dxa"/>
            <w:vAlign w:val="bottom"/>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459,628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345,884</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17.8 %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338,456</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18.5 %</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doubtful accounts (2)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45,602</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37"/>
        </w:trPr>
        <w:tc>
          <w:tcPr>
            <w:tcW w:w="4480" w:type="dxa"/>
            <w:vAlign w:val="bottom"/>
          </w:tcPr>
          <w:p>
            <w:pPr>
              <w:ind w:left="160"/>
              <w:spacing w:after="0"/>
              <w:rPr>
                <w:sz w:val="20"/>
                <w:szCs w:val="20"/>
                <w:color w:val="auto"/>
              </w:rPr>
            </w:pPr>
            <w:r>
              <w:rPr>
                <w:rFonts w:ascii="Arial" w:cs="Arial" w:eastAsia="Arial" w:hAnsi="Arial"/>
                <w:sz w:val="16"/>
                <w:szCs w:val="16"/>
                <w:color w:val="auto"/>
              </w:rPr>
              <w:t>Depreciation and amortization expense</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53,690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38,062</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34,662</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1.9 %</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383,946</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418,720</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22.9 %</w:t>
            </w:r>
          </w:p>
        </w:tc>
      </w:tr>
      <w:tr>
        <w:trPr>
          <w:trHeight w:val="217"/>
        </w:trPr>
        <w:tc>
          <w:tcPr>
            <w:tcW w:w="448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38,269</w:t>
            </w:r>
          </w:p>
        </w:tc>
        <w:tc>
          <w:tcPr>
            <w:tcW w:w="60" w:type="dxa"/>
            <w:vAlign w:val="bottom"/>
            <w:tcBorders>
              <w:top w:val="single" w:sz="8" w:color="auto"/>
            </w:tcBorders>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27,279</w:t>
            </w:r>
          </w:p>
        </w:tc>
        <w:tc>
          <w:tcPr>
            <w:tcW w:w="60" w:type="dxa"/>
            <w:vAlign w:val="bottom"/>
            <w:tcBorders>
              <w:top w:val="single" w:sz="8" w:color="auto"/>
            </w:tcBorders>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91"/>
        </w:trPr>
        <w:tc>
          <w:tcPr>
            <w:tcW w:w="4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4480" w:type="dxa"/>
            <w:vAlign w:val="bottom"/>
          </w:tcPr>
          <w:p>
            <w:pPr>
              <w:ind w:left="160"/>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(45,824)</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(44,307)</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4480" w:type="dxa"/>
            <w:vAlign w:val="bottom"/>
          </w:tcPr>
          <w:p>
            <w:pPr>
              <w:ind w:left="160"/>
              <w:spacing w:after="0"/>
              <w:rPr>
                <w:sz w:val="20"/>
                <w:szCs w:val="20"/>
                <w:color w:val="auto"/>
              </w:rPr>
            </w:pPr>
            <w:r>
              <w:rPr>
                <w:rFonts w:ascii="Arial" w:cs="Arial" w:eastAsia="Arial" w:hAnsi="Arial"/>
                <w:sz w:val="16"/>
                <w:szCs w:val="16"/>
                <w:color w:val="auto"/>
              </w:rPr>
              <w:t>Equity in earnings of joint ventures</w:t>
            </w: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1,020</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2,186</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0.1 %</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17"/>
        </w:trPr>
        <w:tc>
          <w:tcPr>
            <w:tcW w:w="448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(47,037)</w:t>
            </w:r>
          </w:p>
        </w:tc>
        <w:tc>
          <w:tcPr>
            <w:tcW w:w="60" w:type="dxa"/>
            <w:vAlign w:val="bottom"/>
            <w:tcBorders>
              <w:top w:val="single" w:sz="8" w:color="auto"/>
            </w:tcBorders>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(41,986)</w:t>
            </w:r>
          </w:p>
        </w:tc>
        <w:tc>
          <w:tcPr>
            <w:tcW w:w="60" w:type="dxa"/>
            <w:vAlign w:val="bottom"/>
            <w:tcBorders>
              <w:top w:val="single" w:sz="8" w:color="auto"/>
            </w:tcBorders>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91"/>
        </w:trPr>
        <w:tc>
          <w:tcPr>
            <w:tcW w:w="4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(78,194)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(8,768)</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(14,707)</w:t>
            </w:r>
          </w:p>
        </w:tc>
        <w:tc>
          <w:tcPr>
            <w:tcW w:w="1280" w:type="dxa"/>
            <w:vAlign w:val="bottom"/>
            <w:gridSpan w:val="3"/>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(18,585)</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84"/>
        </w:trPr>
        <w:tc>
          <w:tcPr>
            <w:tcW w:w="44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(75,920)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(6,115)</w:t>
            </w:r>
          </w:p>
        </w:tc>
        <w:tc>
          <w:tcPr>
            <w:tcW w:w="60" w:type="dxa"/>
            <w:vAlign w:val="bottom"/>
            <w:tcBorders>
              <w:top w:val="single" w:sz="8" w:color="auto"/>
              <w:bottom w:val="single" w:sz="8" w:color="auto"/>
            </w:tcBorders>
          </w:tcPr>
          <w:p>
            <w:pPr>
              <w:spacing w:after="0"/>
              <w:rPr>
                <w:sz w:val="24"/>
                <w:szCs w:val="24"/>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3,878</w:t>
            </w:r>
          </w:p>
        </w:tc>
        <w:tc>
          <w:tcPr>
            <w:tcW w:w="60" w:type="dxa"/>
            <w:vAlign w:val="bottom"/>
            <w:tcBorders>
              <w:top w:val="single" w:sz="8" w:color="auto"/>
              <w:bottom w:val="single" w:sz="8" w:color="auto"/>
            </w:tcBorders>
          </w:tcPr>
          <w:p>
            <w:pPr>
              <w:spacing w:after="0"/>
              <w:rPr>
                <w:sz w:val="24"/>
                <w:szCs w:val="24"/>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0.2 %</w:t>
            </w:r>
          </w:p>
        </w:tc>
      </w:tr>
      <w:tr>
        <w:trPr>
          <w:trHeight w:val="284"/>
        </w:trPr>
        <w:tc>
          <w:tcPr>
            <w:tcW w:w="4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6"/>
                <w:szCs w:val="16"/>
                <w:color w:val="auto"/>
              </w:rPr>
              <w:t>OTHER COMPREHENSIVE (LOSS) INCOME, NET OF TAX:</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44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Change in unrealized (losses) gains on cash flow hedges, net of</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9"/>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taxes of $259, $234 and $36,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0.0 %</w:t>
            </w:r>
          </w:p>
        </w:tc>
      </w:tr>
      <w:tr>
        <w:trPr>
          <w:trHeight w:val="217"/>
        </w:trPr>
        <w:tc>
          <w:tcPr>
            <w:tcW w:w="4480" w:type="dxa"/>
            <w:vAlign w:val="bottom"/>
          </w:tcPr>
          <w:p>
            <w:pPr>
              <w:ind w:left="260"/>
              <w:spacing w:after="0"/>
              <w:rPr>
                <w:sz w:val="20"/>
                <w:szCs w:val="20"/>
                <w:color w:val="auto"/>
              </w:rPr>
            </w:pPr>
            <w:r>
              <w:rPr>
                <w:rFonts w:ascii="Arial" w:cs="Arial" w:eastAsia="Arial" w:hAnsi="Arial"/>
                <w:sz w:val="16"/>
                <w:szCs w:val="16"/>
                <w:color w:val="auto"/>
              </w:rPr>
              <w:t>OTHER COMPREHENSIVE (LOSS) INCOME</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60" w:type="dxa"/>
            <w:vAlign w:val="bottom"/>
            <w:tcBorders>
              <w:top w:val="single" w:sz="8" w:color="auto"/>
            </w:tcBorders>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60" w:type="dxa"/>
            <w:vAlign w:val="bottom"/>
            <w:tcBorders>
              <w:top w:val="single" w:sz="8" w:color="auto"/>
            </w:tcBorders>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0.0 %</w:t>
            </w:r>
          </w:p>
        </w:tc>
      </w:tr>
      <w:tr>
        <w:trPr>
          <w:trHeight w:val="33"/>
        </w:trPr>
        <w:tc>
          <w:tcPr>
            <w:tcW w:w="4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COMPREHENSIVE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(5,341)</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2019 includes the results of operations of BioScrip from August 6, 2019 onward and are, therefore, not comparable to prior periods.</w:t>
      </w:r>
    </w:p>
    <w:p>
      <w:pPr>
        <w:spacing w:after="0" w:line="225" w:lineRule="exact"/>
        <w:rPr>
          <w:rFonts w:ascii="Arial" w:cs="Arial" w:eastAsia="Arial" w:hAnsi="Arial"/>
          <w:sz w:val="18"/>
          <w:szCs w:val="18"/>
          <w:color w:val="auto"/>
        </w:rPr>
      </w:pPr>
    </w:p>
    <w:p>
      <w:pPr>
        <w:ind w:right="40" w:firstLine="8"/>
        <w:spacing w:after="0" w:line="26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Provision for doubtful accounts for the years ended December 31, 2019 and 2018 reflect the adoption of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and are, therefore, not comparable to prior periods. For a full discussion on the impacts of the adoption see Note 4,</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included in Item 8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selected consolidated comparative results of operations for the years ended December 31, 2019 and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jc w:val="center"/>
              <w:ind w:right="659"/>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18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Variance</w:t>
            </w:r>
          </w:p>
        </w:tc>
        <w:tc>
          <w:tcPr>
            <w:tcW w:w="680" w:type="dxa"/>
            <w:vAlign w:val="bottom"/>
          </w:tcPr>
          <w:p>
            <w:pPr>
              <w:spacing w:after="0"/>
              <w:rPr>
                <w:sz w:val="20"/>
                <w:szCs w:val="20"/>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52"/>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gridSpan w:val="6"/>
          </w:tcPr>
          <w:p>
            <w:pPr>
              <w:jc w:val="center"/>
              <w:ind w:right="35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680" w:type="dxa"/>
            <w:vAlign w:val="bottom"/>
          </w:tcPr>
          <w:p>
            <w:pPr>
              <w:spacing w:after="0"/>
              <w:rPr>
                <w:sz w:val="24"/>
                <w:szCs w:val="24"/>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Net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140"/>
              <w:spacing w:after="0"/>
              <w:rPr>
                <w:sz w:val="20"/>
                <w:szCs w:val="20"/>
                <w:color w:val="auto"/>
              </w:rPr>
            </w:pPr>
            <w:r>
              <w:rPr>
                <w:rFonts w:ascii="Arial" w:cs="Arial" w:eastAsia="Arial" w:hAnsi="Arial"/>
                <w:sz w:val="16"/>
                <w:szCs w:val="16"/>
                <w:color w:val="auto"/>
              </w:rPr>
              <w:t>2,310,417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ind w:left="180"/>
              <w:spacing w:after="0"/>
              <w:rPr>
                <w:sz w:val="20"/>
                <w:szCs w:val="20"/>
                <w:color w:val="auto"/>
              </w:rPr>
            </w:pPr>
            <w:r>
              <w:rPr>
                <w:rFonts w:ascii="Arial" w:cs="Arial" w:eastAsia="Arial" w:hAnsi="Arial"/>
                <w:sz w:val="16"/>
                <w:szCs w:val="16"/>
                <w:color w:val="auto"/>
              </w:rPr>
              <w:t>1,939,791</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619"/>
              <w:spacing w:after="0"/>
              <w:rPr>
                <w:sz w:val="20"/>
                <w:szCs w:val="20"/>
                <w:color w:val="auto"/>
              </w:rPr>
            </w:pPr>
            <w:r>
              <w:rPr>
                <w:rFonts w:ascii="Arial" w:cs="Arial" w:eastAsia="Arial" w:hAnsi="Arial"/>
                <w:sz w:val="16"/>
                <w:szCs w:val="16"/>
                <w:color w:val="auto"/>
              </w:rPr>
              <w:t>370,626</w:t>
            </w:r>
          </w:p>
        </w:tc>
        <w:tc>
          <w:tcPr>
            <w:tcW w:w="680" w:type="dxa"/>
            <w:vAlign w:val="bottom"/>
          </w:tcPr>
          <w:p>
            <w:pPr>
              <w:jc w:val="right"/>
              <w:spacing w:after="0"/>
              <w:rPr>
                <w:sz w:val="20"/>
                <w:szCs w:val="20"/>
                <w:color w:val="auto"/>
              </w:rPr>
            </w:pPr>
            <w:r>
              <w:rPr>
                <w:rFonts w:ascii="Arial" w:cs="Arial" w:eastAsia="Arial" w:hAnsi="Arial"/>
                <w:sz w:val="16"/>
                <w:szCs w:val="16"/>
                <w:color w:val="auto"/>
              </w:rPr>
              <w:t>19.1%</w:t>
            </w: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19.1% increase in net revenue was primarily driven by additional revenue following the Merger of $308.9 million.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 increases in net revenue were the result of growth in the Company’s portfolio of therapies, particularly those therapies to treat chronic conditions such as autoimmune inflammatory disorders.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388"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4"/>
          </w:tcPr>
          <w:p>
            <w:pPr>
              <w:jc w:val="center"/>
              <w:ind w:right="759"/>
              <w:spacing w:after="0"/>
              <w:rPr>
                <w:sz w:val="20"/>
                <w:szCs w:val="20"/>
                <w:color w:val="auto"/>
              </w:rPr>
            </w:pPr>
            <w:r>
              <w:rPr>
                <w:rFonts w:ascii="Arial" w:cs="Arial" w:eastAsia="Arial" w:hAnsi="Arial"/>
                <w:sz w:val="16"/>
                <w:szCs w:val="16"/>
                <w:b w:val="1"/>
                <w:bCs w:val="1"/>
                <w:color w:val="auto"/>
                <w:w w:val="91"/>
              </w:rPr>
              <w:t>Year Ended December 31,</w:t>
            </w:r>
          </w:p>
        </w:tc>
        <w:tc>
          <w:tcPr>
            <w:tcW w:w="66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b w:val="1"/>
                <w:bCs w:val="1"/>
                <w:color w:val="auto"/>
              </w:rPr>
              <w:t>Variance</w:t>
            </w:r>
          </w:p>
        </w:tc>
        <w:tc>
          <w:tcPr>
            <w:tcW w:w="660" w:type="dxa"/>
            <w:vAlign w:val="bottom"/>
          </w:tcPr>
          <w:p>
            <w:pPr>
              <w:spacing w:after="0"/>
              <w:rPr>
                <w:sz w:val="20"/>
                <w:szCs w:val="20"/>
                <w:color w:val="auto"/>
              </w:rPr>
            </w:pP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52"/>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gridSpan w:val="6"/>
          </w:tcPr>
          <w:p>
            <w:pPr>
              <w:jc w:val="center"/>
              <w:ind w:right="41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660" w:type="dxa"/>
            <w:vAlign w:val="bottom"/>
          </w:tcPr>
          <w:p>
            <w:pPr>
              <w:spacing w:after="0"/>
              <w:rPr>
                <w:sz w:val="24"/>
                <w:szCs w:val="24"/>
                <w:color w:val="auto"/>
              </w:rPr>
            </w:pPr>
          </w:p>
        </w:tc>
      </w:tr>
      <w:tr>
        <w:trPr>
          <w:trHeight w:val="270"/>
        </w:trPr>
        <w:tc>
          <w:tcPr>
            <w:tcW w:w="36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1,797,418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1,517,576</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19"/>
              <w:spacing w:after="0"/>
              <w:rPr>
                <w:sz w:val="20"/>
                <w:szCs w:val="20"/>
                <w:color w:val="auto"/>
              </w:rPr>
            </w:pPr>
            <w:r>
              <w:rPr>
                <w:rFonts w:ascii="Arial" w:cs="Arial" w:eastAsia="Arial" w:hAnsi="Arial"/>
                <w:sz w:val="16"/>
                <w:szCs w:val="16"/>
                <w:color w:val="auto"/>
              </w:rPr>
              <w:t>279,842</w:t>
            </w:r>
          </w:p>
        </w:tc>
        <w:tc>
          <w:tcPr>
            <w:tcW w:w="66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33"/>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33"/>
        </w:trPr>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18.4% increase in cost of revenue was primarily attributable to the increase in revenue. The increase in gross margin was driven by the therapy mix shift along with favorable formulary management and procurement contracts as we were able to take advantage of more favorable pricing due to increased buying power after the Merger.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jc w:val="center"/>
              <w:ind w:right="760"/>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600"/>
              <w:spacing w:after="0"/>
              <w:rPr>
                <w:sz w:val="20"/>
                <w:szCs w:val="20"/>
                <w:color w:val="auto"/>
              </w:rPr>
            </w:pPr>
            <w:r>
              <w:rPr>
                <w:rFonts w:ascii="Arial" w:cs="Arial" w:eastAsia="Arial" w:hAnsi="Arial"/>
                <w:sz w:val="16"/>
                <w:szCs w:val="16"/>
                <w:b w:val="1"/>
                <w:bCs w:val="1"/>
                <w:color w:val="auto"/>
              </w:rPr>
              <w:t>Variance</w:t>
            </w:r>
          </w:p>
        </w:tc>
        <w:tc>
          <w:tcPr>
            <w:tcW w:w="68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52"/>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00" w:type="dxa"/>
            <w:vAlign w:val="bottom"/>
            <w:gridSpan w:val="7"/>
          </w:tcPr>
          <w:p>
            <w:pPr>
              <w:jc w:val="center"/>
              <w:ind w:right="40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680" w:type="dxa"/>
            <w:vAlign w:val="bottom"/>
          </w:tcPr>
          <w:p>
            <w:pPr>
              <w:spacing w:after="0"/>
              <w:rPr>
                <w:sz w:val="24"/>
                <w:szCs w:val="24"/>
                <w:color w:val="auto"/>
              </w:rPr>
            </w:pPr>
          </w:p>
        </w:tc>
      </w:tr>
      <w:tr>
        <w:trPr>
          <w:trHeight w:val="270"/>
        </w:trPr>
        <w:tc>
          <w:tcPr>
            <w:tcW w:w="3780" w:type="dxa"/>
            <w:vAlign w:val="bottom"/>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459,628</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345,884</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113,744</w:t>
            </w:r>
          </w:p>
        </w:tc>
        <w:tc>
          <w:tcPr>
            <w:tcW w:w="6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15,628</w:t>
            </w:r>
          </w:p>
        </w:tc>
        <w:tc>
          <w:tcPr>
            <w:tcW w:w="6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244"/>
        </w:trPr>
        <w:tc>
          <w:tcPr>
            <w:tcW w:w="3780" w:type="dxa"/>
            <w:vAlign w:val="bottom"/>
          </w:tcPr>
          <w:p>
            <w:pPr>
              <w:ind w:left="2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513,318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383,946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129,372</w:t>
            </w:r>
          </w:p>
        </w:tc>
        <w:tc>
          <w:tcPr>
            <w:tcW w:w="6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increase in selling, general and administrative expenses in dollars and as a percent of revenue (17.8% of revenue for the year ended December 31, 2018 to 19.9% for the year ended December 31, 2019) was driven by transaction and integration expenses related to the Merger during the year ended December 31, 2019.</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increase in depreciation and amortization was primarily related to the deprecation of fixed assets acquired and the amortization of intangibles acquired from the Merger of $6.2 million and $6.5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720"/>
              <w:spacing w:after="0"/>
              <w:rPr>
                <w:sz w:val="20"/>
                <w:szCs w:val="20"/>
                <w:color w:val="auto"/>
              </w:rPr>
            </w:pPr>
            <w:r>
              <w:rPr>
                <w:rFonts w:ascii="Arial" w:cs="Arial" w:eastAsia="Arial" w:hAnsi="Arial"/>
                <w:sz w:val="16"/>
                <w:szCs w:val="16"/>
                <w:b w:val="1"/>
                <w:bCs w:val="1"/>
                <w:color w:val="auto"/>
                <w:w w:val="91"/>
              </w:rPr>
              <w:t>Year Ended December 31,</w:t>
            </w:r>
          </w:p>
        </w:tc>
        <w:tc>
          <w:tcPr>
            <w:tcW w:w="7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ind w:left="580"/>
              <w:spacing w:after="0"/>
              <w:rPr>
                <w:sz w:val="20"/>
                <w:szCs w:val="20"/>
                <w:color w:val="auto"/>
              </w:rPr>
            </w:pPr>
            <w:r>
              <w:rPr>
                <w:rFonts w:ascii="Arial" w:cs="Arial" w:eastAsia="Arial" w:hAnsi="Arial"/>
                <w:sz w:val="16"/>
                <w:szCs w:val="16"/>
                <w:b w:val="1"/>
                <w:bCs w:val="1"/>
                <w:color w:val="auto"/>
              </w:rPr>
              <w:t>Variance</w:t>
            </w:r>
          </w:p>
        </w:tc>
        <w:tc>
          <w:tcPr>
            <w:tcW w:w="72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52"/>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60" w:type="dxa"/>
            <w:vAlign w:val="bottom"/>
            <w:gridSpan w:val="7"/>
          </w:tcPr>
          <w:p>
            <w:pPr>
              <w:jc w:val="center"/>
              <w:ind w:right="36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20" w:type="dxa"/>
            <w:vAlign w:val="bottom"/>
          </w:tcPr>
          <w:p>
            <w:pPr>
              <w:spacing w:after="0"/>
              <w:rPr>
                <w:sz w:val="24"/>
                <w:szCs w:val="24"/>
                <w:color w:val="auto"/>
              </w:rPr>
            </w:pPr>
          </w:p>
        </w:tc>
      </w:tr>
      <w:tr>
        <w:trPr>
          <w:trHeight w:val="270"/>
        </w:trPr>
        <w:tc>
          <w:tcPr>
            <w:tcW w:w="37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(73,724)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(45,824)</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(27,900)</w:t>
            </w:r>
          </w:p>
        </w:tc>
        <w:tc>
          <w:tcPr>
            <w:tcW w:w="5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of joint ventures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5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(4,758)</w:t>
            </w:r>
          </w:p>
        </w:tc>
        <w:tc>
          <w:tcPr>
            <w:tcW w:w="5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213.1%</w:t>
            </w: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44"/>
        </w:trPr>
        <w:tc>
          <w:tcPr>
            <w:tcW w:w="3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(77,875)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(30,838)</w:t>
            </w:r>
          </w:p>
        </w:tc>
        <w:tc>
          <w:tcPr>
            <w:tcW w:w="5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interest expense of 60.9% was primarily attributable to the additional expense related to the new debt issued at the close of the Merger.</w:t>
      </w:r>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other, net of 213.1% was the result of the debt extinguishment costs incurred in 2019 of $5.5 million as a result of the extinguishment of debt in conjunction with the Merger.</w:t>
      </w:r>
    </w:p>
    <w:p>
      <w:pPr>
        <w:sectPr>
          <w:pgSz w:w="11900" w:h="16838" w:orient="portrait"/>
          <w:cols w:equalWidth="0" w:num="1">
            <w:col w:w="11280"/>
          </w:cols>
          <w:pgMar w:left="24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80"/>
          </w:cols>
          <w:pgMar w:left="240" w:top="121" w:right="37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jc w:val="center"/>
              <w:ind w:right="619"/>
              <w:spacing w:after="0"/>
              <w:rPr>
                <w:sz w:val="20"/>
                <w:szCs w:val="20"/>
                <w:color w:val="auto"/>
              </w:rPr>
            </w:pPr>
            <w:r>
              <w:rPr>
                <w:rFonts w:ascii="Arial" w:cs="Arial" w:eastAsia="Arial" w:hAnsi="Arial"/>
                <w:sz w:val="16"/>
                <w:szCs w:val="16"/>
                <w:b w:val="1"/>
                <w:bCs w:val="1"/>
                <w:color w:val="auto"/>
                <w:w w:val="91"/>
              </w:rPr>
              <w:t>Year Ended December 31,</w:t>
            </w:r>
          </w:p>
        </w:tc>
        <w:tc>
          <w:tcPr>
            <w:tcW w:w="7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Variance</w:t>
            </w:r>
          </w:p>
        </w:tc>
        <w:tc>
          <w:tcPr>
            <w:tcW w:w="740" w:type="dxa"/>
            <w:vAlign w:val="bottom"/>
          </w:tcPr>
          <w:p>
            <w:pPr>
              <w:spacing w:after="0"/>
              <w:rPr>
                <w:sz w:val="20"/>
                <w:szCs w:val="20"/>
                <w:color w:val="auto"/>
              </w:rPr>
            </w:pPr>
          </w:p>
        </w:tc>
      </w:tr>
      <w:tr>
        <w:trPr>
          <w:trHeight w:val="33"/>
        </w:trPr>
        <w:tc>
          <w:tcPr>
            <w:tcW w:w="3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52"/>
        </w:trPr>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80" w:type="dxa"/>
            <w:vAlign w:val="bottom"/>
            <w:gridSpan w:val="6"/>
          </w:tcPr>
          <w:p>
            <w:pPr>
              <w:jc w:val="center"/>
              <w:ind w:right="25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40" w:type="dxa"/>
            <w:vAlign w:val="bottom"/>
          </w:tcPr>
          <w:p>
            <w:pPr>
              <w:spacing w:after="0"/>
              <w:rPr>
                <w:sz w:val="24"/>
                <w:szCs w:val="24"/>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(2,274)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(2,653)</w:t>
            </w:r>
          </w:p>
        </w:tc>
        <w:tc>
          <w:tcPr>
            <w:tcW w:w="100" w:type="dxa"/>
            <w:vAlign w:val="bottom"/>
          </w:tcPr>
          <w:p>
            <w:pPr>
              <w:spacing w:after="0"/>
              <w:rPr>
                <w:sz w:val="23"/>
                <w:szCs w:val="23"/>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9"/>
              <w:spacing w:after="0"/>
              <w:rPr>
                <w:sz w:val="20"/>
                <w:szCs w:val="20"/>
                <w:color w:val="auto"/>
              </w:rPr>
            </w:pPr>
            <w:r>
              <w:rPr>
                <w:rFonts w:ascii="Arial" w:cs="Arial" w:eastAsia="Arial" w:hAnsi="Arial"/>
                <w:sz w:val="16"/>
                <w:szCs w:val="16"/>
                <w:color w:val="auto"/>
              </w:rPr>
              <w:t>379</w:t>
            </w: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r>
    </w:tbl>
    <w:p>
      <w:pPr>
        <w:spacing w:after="0" w:line="23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Company’s tax benefit for the year ended December 31, 2019 is comprised of a deferred tax benefit partially offset by a change in valuation allowance and state tax liabilities. This results in an effective tax rate of 2.9% for the year ended December 31, 2019. During the year ended December 31, 2018, the effective tax rate was 30.3%. These rates differ from the Company’s 21% federal statutory rate primarily due to a change in valuation allowance, certain state and local taxes, non-deductible costs, and resolution of certain tax matters.</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Income and Other Comprehensive (Loss) Income</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840" w:type="dxa"/>
            <w:vAlign w:val="bottom"/>
          </w:tcPr>
          <w:p>
            <w:pPr>
              <w:spacing w:after="0"/>
              <w:rPr>
                <w:sz w:val="20"/>
                <w:szCs w:val="20"/>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2"/>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8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40" w:type="dxa"/>
            <w:vAlign w:val="bottom"/>
          </w:tcPr>
          <w:p>
            <w:pPr>
              <w:spacing w:after="0"/>
              <w:rPr>
                <w:sz w:val="24"/>
                <w:szCs w:val="24"/>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(75,920)</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(6,115)</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(69,805)</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1,141.5 %</w:t>
            </w: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0"/>
        </w:trPr>
        <w:tc>
          <w:tcPr>
            <w:tcW w:w="3740" w:type="dxa"/>
            <w:vAlign w:val="bottom"/>
          </w:tcPr>
          <w:p>
            <w:pPr>
              <w:ind w:left="100"/>
              <w:spacing w:after="0"/>
              <w:rPr>
                <w:sz w:val="20"/>
                <w:szCs w:val="20"/>
                <w:color w:val="auto"/>
              </w:rPr>
            </w:pPr>
            <w:r>
              <w:rPr>
                <w:rFonts w:ascii="Arial" w:cs="Arial" w:eastAsia="Arial" w:hAnsi="Arial"/>
                <w:sz w:val="16"/>
                <w:szCs w:val="16"/>
                <w:color w:val="auto"/>
              </w:rPr>
              <w:t>Changes in unrealized (losses) gains on cash flow</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40" w:type="dxa"/>
            <w:vAlign w:val="bottom"/>
          </w:tcPr>
          <w:p>
            <w:pPr>
              <w:ind w:left="100"/>
              <w:spacing w:after="0"/>
              <w:rPr>
                <w:sz w:val="20"/>
                <w:szCs w:val="20"/>
                <w:color w:val="auto"/>
              </w:rPr>
            </w:pPr>
            <w:r>
              <w:rPr>
                <w:rFonts w:ascii="Arial" w:cs="Arial" w:eastAsia="Arial" w:hAnsi="Arial"/>
                <w:sz w:val="16"/>
                <w:szCs w:val="16"/>
                <w:color w:val="auto"/>
              </w:rPr>
              <w:t>hedges, net of income taxes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(8,039)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(8,813)</w:t>
            </w: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(1,138.6)%</w:t>
            </w:r>
          </w:p>
        </w:tc>
      </w:tr>
      <w:tr>
        <w:trPr>
          <w:trHeight w:val="33"/>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comprehensive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(8,813)</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(1,138.6)%</w:t>
            </w:r>
          </w:p>
        </w:tc>
      </w:tr>
      <w:tr>
        <w:trPr>
          <w:trHeight w:val="244"/>
        </w:trPr>
        <w:tc>
          <w:tcPr>
            <w:tcW w:w="3740" w:type="dxa"/>
            <w:vAlign w:val="bottom"/>
          </w:tcPr>
          <w:p>
            <w:pPr>
              <w:ind w:left="20"/>
              <w:spacing w:after="0"/>
              <w:rPr>
                <w:sz w:val="20"/>
                <w:szCs w:val="20"/>
                <w:color w:val="auto"/>
              </w:rPr>
            </w:pPr>
            <w:r>
              <w:rPr>
                <w:rFonts w:ascii="Arial" w:cs="Arial" w:eastAsia="Arial" w:hAnsi="Arial"/>
                <w:sz w:val="16"/>
                <w:szCs w:val="16"/>
                <w:color w:val="auto"/>
              </w:rPr>
              <w:t>Net comprehensive (loss) income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(83,959)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(78,618)</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1,472.0 %</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Net loss increased $69.8 million primarily driven by increased depreciation and amortization expense, transaction expenses and integration costs related to the Merger, increased interest expense, as well as the loss on the extinguishment of debt.</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Changes in unrealized (losses) gains on cash flow hedges, net of income taxes, decreased as a result of the decrease in the variable interest rates during 2019. The interest rate swaps in 2019 are hedging against the first $911.1 million of the First Lien Term Loan and the first $400.0 million of the Second Lien Term Loan, whereas the interest rate caps in 2018 through April 2019 were on the first $250.0 million of the Previous First Lien Term Loan, resulting in a larger impact on unrealized (losses) gains on cash flow hedges in 2019.</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Net comprehensive loss increased $78.6 million for the year ended December 31, 2019 as a result of the changes in net loss, discussed above, further reduced by the impact of the fair value of the hedging instruments.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selected consolidated comparative results of operations for the years ended December 31,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w:t>
      </w:r>
    </w:p>
    <w:p>
      <w:pPr>
        <w:spacing w:after="0" w:line="172"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center"/>
              <w:ind w:right="739"/>
              <w:spacing w:after="0"/>
              <w:rPr>
                <w:sz w:val="20"/>
                <w:szCs w:val="20"/>
                <w:color w:val="auto"/>
              </w:rPr>
            </w:pPr>
            <w:r>
              <w:rPr>
                <w:rFonts w:ascii="Arial" w:cs="Arial" w:eastAsia="Arial" w:hAnsi="Arial"/>
                <w:sz w:val="16"/>
                <w:szCs w:val="16"/>
                <w:b w:val="1"/>
                <w:bCs w:val="1"/>
                <w:color w:val="auto"/>
                <w:w w:val="91"/>
              </w:rPr>
              <w:t>Year Ended December 31,</w:t>
            </w:r>
          </w:p>
        </w:tc>
        <w:tc>
          <w:tcPr>
            <w:tcW w:w="62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3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18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Variance</w:t>
            </w:r>
          </w:p>
        </w:tc>
        <w:tc>
          <w:tcPr>
            <w:tcW w:w="620" w:type="dxa"/>
            <w:vAlign w:val="bottom"/>
          </w:tcPr>
          <w:p>
            <w:pPr>
              <w:spacing w:after="0"/>
              <w:rPr>
                <w:sz w:val="20"/>
                <w:szCs w:val="20"/>
                <w:color w:val="auto"/>
              </w:rPr>
            </w:pPr>
          </w:p>
        </w:tc>
      </w:tr>
      <w:tr>
        <w:trPr>
          <w:trHeight w:val="33"/>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2"/>
        </w:trPr>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0" w:type="dxa"/>
            <w:vAlign w:val="bottom"/>
            <w:gridSpan w:val="6"/>
          </w:tcPr>
          <w:p>
            <w:pPr>
              <w:jc w:val="center"/>
              <w:ind w:right="399"/>
              <w:spacing w:after="0"/>
              <w:rPr>
                <w:sz w:val="20"/>
                <w:szCs w:val="20"/>
                <w:color w:val="auto"/>
              </w:rPr>
            </w:pPr>
            <w:r>
              <w:rPr>
                <w:rFonts w:ascii="Arial" w:cs="Arial" w:eastAsia="Arial" w:hAnsi="Arial"/>
                <w:sz w:val="16"/>
                <w:szCs w:val="16"/>
                <w:b w:val="1"/>
                <w:bCs w:val="1"/>
                <w:color w:val="auto"/>
                <w:w w:val="88"/>
              </w:rPr>
              <w:t>(in thousands, except for percentages)</w:t>
            </w:r>
          </w:p>
        </w:tc>
        <w:tc>
          <w:tcPr>
            <w:tcW w:w="620" w:type="dxa"/>
            <w:vAlign w:val="bottom"/>
          </w:tcPr>
          <w:p>
            <w:pPr>
              <w:spacing w:after="0"/>
              <w:rPr>
                <w:sz w:val="24"/>
                <w:szCs w:val="24"/>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6"/>
                <w:szCs w:val="16"/>
                <w:color w:val="auto"/>
              </w:rPr>
              <w:t>Net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160"/>
              <w:spacing w:after="0"/>
              <w:rPr>
                <w:sz w:val="20"/>
                <w:szCs w:val="20"/>
                <w:color w:val="auto"/>
              </w:rPr>
            </w:pPr>
            <w:r>
              <w:rPr>
                <w:rFonts w:ascii="Arial" w:cs="Arial" w:eastAsia="Arial" w:hAnsi="Arial"/>
                <w:sz w:val="16"/>
                <w:szCs w:val="16"/>
                <w:color w:val="auto"/>
                <w:w w:val="98"/>
              </w:rPr>
              <w:t>1,939,791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ind w:left="200"/>
              <w:spacing w:after="0"/>
              <w:rPr>
                <w:sz w:val="20"/>
                <w:szCs w:val="20"/>
                <w:color w:val="auto"/>
              </w:rPr>
            </w:pPr>
            <w:r>
              <w:rPr>
                <w:rFonts w:ascii="Arial" w:cs="Arial" w:eastAsia="Arial" w:hAnsi="Arial"/>
                <w:sz w:val="16"/>
                <w:szCs w:val="16"/>
                <w:color w:val="auto"/>
                <w:w w:val="98"/>
              </w:rPr>
              <w:t>1,828,046</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679"/>
              <w:spacing w:after="0"/>
              <w:rPr>
                <w:sz w:val="20"/>
                <w:szCs w:val="20"/>
                <w:color w:val="auto"/>
              </w:rPr>
            </w:pPr>
            <w:r>
              <w:rPr>
                <w:rFonts w:ascii="Arial" w:cs="Arial" w:eastAsia="Arial" w:hAnsi="Arial"/>
                <w:sz w:val="16"/>
                <w:szCs w:val="16"/>
                <w:color w:val="auto"/>
              </w:rPr>
              <w:t>111,745</w:t>
            </w:r>
          </w:p>
        </w:tc>
        <w:tc>
          <w:tcPr>
            <w:tcW w:w="620" w:type="dxa"/>
            <w:vAlign w:val="bottom"/>
          </w:tcPr>
          <w:p>
            <w:pPr>
              <w:jc w:val="right"/>
              <w:spacing w:after="0"/>
              <w:rPr>
                <w:sz w:val="20"/>
                <w:szCs w:val="20"/>
                <w:color w:val="auto"/>
              </w:rPr>
            </w:pPr>
            <w:r>
              <w:rPr>
                <w:rFonts w:ascii="Arial" w:cs="Arial" w:eastAsia="Arial" w:hAnsi="Arial"/>
                <w:sz w:val="16"/>
                <w:szCs w:val="16"/>
                <w:color w:val="auto"/>
              </w:rPr>
              <w:t>6.1%</w:t>
            </w:r>
          </w:p>
        </w:tc>
      </w:tr>
    </w:tbl>
    <w:p>
      <w:pPr>
        <w:spacing w:after="0" w:line="23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6.1% increase in net revenue was primarily driven by growth in the Company’s portfolio of therapies to treat chronic conditions such as autoimmune inflammatory disorders, as well as a shift in commercial strategy to better leverage the capabilities of its care transition specialists to capture additional market share. The 2017 launch of additional therapies for the treatment of amyotrophic lateral sclerosis and Duchenne muscular dystrophy resulted in a $138.9 million increase in the Company’s revenue in 2018. The favorable impact of these items offset the disruption impact from the implementation of a new pharmacy system, which was deployed from November 2016 to November 2018. Additionally, 2018 net revenue reflects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decrease of $61.3 million related to the implementation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(See “Revenue Recognition”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which resulted in the previously reported provision for doubtful accounts being treated as an implicit price concession that reduces net revenue upon adoption in 2018.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center"/>
              <w:ind w:right="799"/>
              <w:spacing w:after="0"/>
              <w:rPr>
                <w:sz w:val="20"/>
                <w:szCs w:val="20"/>
                <w:color w:val="auto"/>
              </w:rPr>
            </w:pPr>
            <w:r>
              <w:rPr>
                <w:rFonts w:ascii="Arial" w:cs="Arial" w:eastAsia="Arial" w:hAnsi="Arial"/>
                <w:sz w:val="16"/>
                <w:szCs w:val="16"/>
                <w:b w:val="1"/>
                <w:bCs w:val="1"/>
                <w:color w:val="auto"/>
                <w:w w:val="91"/>
              </w:rPr>
              <w:t>Year Ended December 31,</w:t>
            </w:r>
          </w:p>
        </w:tc>
        <w:tc>
          <w:tcPr>
            <w:tcW w:w="62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Variance</w:t>
            </w:r>
          </w:p>
        </w:tc>
        <w:tc>
          <w:tcPr>
            <w:tcW w:w="620" w:type="dxa"/>
            <w:vAlign w:val="bottom"/>
          </w:tcPr>
          <w:p>
            <w:pPr>
              <w:spacing w:after="0"/>
              <w:rPr>
                <w:sz w:val="20"/>
                <w:szCs w:val="20"/>
                <w:color w:val="auto"/>
              </w:rPr>
            </w:pPr>
          </w:p>
        </w:tc>
      </w:tr>
      <w:tr>
        <w:trPr>
          <w:trHeight w:val="33"/>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2"/>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0" w:type="dxa"/>
            <w:vAlign w:val="bottom"/>
            <w:gridSpan w:val="6"/>
          </w:tcPr>
          <w:p>
            <w:pPr>
              <w:jc w:val="center"/>
              <w:ind w:right="45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620" w:type="dxa"/>
            <w:vAlign w:val="bottom"/>
          </w:tcPr>
          <w:p>
            <w:pPr>
              <w:spacing w:after="0"/>
              <w:rPr>
                <w:sz w:val="24"/>
                <w:szCs w:val="24"/>
                <w:color w:val="auto"/>
              </w:rPr>
            </w:pPr>
          </w:p>
        </w:tc>
      </w:tr>
      <w:tr>
        <w:trPr>
          <w:trHeight w:val="270"/>
        </w:trPr>
        <w:tc>
          <w:tcPr>
            <w:tcW w:w="36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1,517,576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1,382,047</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59"/>
              <w:spacing w:after="0"/>
              <w:rPr>
                <w:sz w:val="20"/>
                <w:szCs w:val="20"/>
                <w:color w:val="auto"/>
              </w:rPr>
            </w:pPr>
            <w:r>
              <w:rPr>
                <w:rFonts w:ascii="Arial" w:cs="Arial" w:eastAsia="Arial" w:hAnsi="Arial"/>
                <w:sz w:val="16"/>
                <w:szCs w:val="16"/>
                <w:color w:val="auto"/>
              </w:rPr>
              <w:t>135,529</w:t>
            </w:r>
          </w:p>
        </w:tc>
        <w:tc>
          <w:tcPr>
            <w:tcW w:w="6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r>
      <w:tr>
        <w:trPr>
          <w:trHeight w:val="23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margin</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33"/>
        </w:trPr>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increase in cost of revenue was primarily attributable to the increase in revenue, combined with a number of higher cost pharmaceuticals being introduced into the Company’s therapy mix. This impact of the therapy mix shift on gross profit margin was partially offset by favorable formulary management and procurement contracts, as well as the introduction of generic alternatives. Over the course of the year, the Company focused on pharmacy efficiency through the utilization of regional compounding facilities and centers of excellence. In addition, the adoption of ASC 606 in 2018 contributed to the decline in gross margin.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88"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5"/>
          </w:tcPr>
          <w:p>
            <w:pPr>
              <w:jc w:val="center"/>
              <w:ind w:right="660"/>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80" w:type="dxa"/>
            <w:vAlign w:val="bottom"/>
          </w:tcPr>
          <w:p>
            <w:pPr>
              <w:spacing w:after="0"/>
              <w:rPr>
                <w:sz w:val="20"/>
                <w:szCs w:val="20"/>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2"/>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4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80" w:type="dxa"/>
            <w:vAlign w:val="bottom"/>
          </w:tcPr>
          <w:p>
            <w:pPr>
              <w:spacing w:after="0"/>
              <w:rPr>
                <w:sz w:val="24"/>
                <w:szCs w:val="24"/>
                <w:color w:val="auto"/>
              </w:rPr>
            </w:pPr>
          </w:p>
        </w:tc>
      </w:tr>
      <w:tr>
        <w:trPr>
          <w:trHeight w:val="270"/>
        </w:trPr>
        <w:tc>
          <w:tcPr>
            <w:tcW w:w="3740" w:type="dxa"/>
            <w:vAlign w:val="bottom"/>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345,884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338,456</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7,428</w:t>
            </w:r>
          </w:p>
        </w:tc>
        <w:tc>
          <w:tcPr>
            <w:tcW w:w="5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(45,602)</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3740" w:type="dxa"/>
            <w:vAlign w:val="bottom"/>
          </w:tcPr>
          <w:p>
            <w:pPr>
              <w:ind w:left="16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38,062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3,400</w:t>
            </w: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33"/>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44"/>
        </w:trPr>
        <w:tc>
          <w:tcPr>
            <w:tcW w:w="3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operating expenses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383,946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418,720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(34,774)</w:t>
            </w:r>
          </w:p>
        </w:tc>
        <w:tc>
          <w:tcPr>
            <w:tcW w:w="5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$7.4 million increase in selling, general and administrative expenses was associated with the increase in sales volume, but as a percentage revenue declined to 17.8% in 2018 from 18.5% in 2017 as topline growth outpaced this incremental increase in operating costs and expenses.</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 xml:space="preserve">Provision for doubtful accounts decreased as a result of the implementation of ASC Topic 606 (See “Revenue Recognition” within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which resulted in the previously reported provision for doubtful accounts in 2017 being treated as an implicit price</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 that reduces net revenue upon adoption in 2018.</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increase in depreciation and amortization expense was primarily due to the investments made into the Company’s pharmacy and information technology infrastructure in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388"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ind w:left="580"/>
              <w:spacing w:after="0"/>
              <w:rPr>
                <w:sz w:val="20"/>
                <w:szCs w:val="20"/>
                <w:color w:val="auto"/>
              </w:rPr>
            </w:pPr>
            <w:r>
              <w:rPr>
                <w:rFonts w:ascii="Arial" w:cs="Arial" w:eastAsia="Arial" w:hAnsi="Arial"/>
                <w:sz w:val="16"/>
                <w:szCs w:val="16"/>
                <w:b w:val="1"/>
                <w:bCs w:val="1"/>
                <w:color w:val="auto"/>
              </w:rPr>
              <w:t>Variance</w:t>
            </w:r>
          </w:p>
        </w:tc>
        <w:tc>
          <w:tcPr>
            <w:tcW w:w="840" w:type="dxa"/>
            <w:vAlign w:val="bottom"/>
          </w:tcPr>
          <w:p>
            <w:pPr>
              <w:spacing w:after="0"/>
              <w:rPr>
                <w:sz w:val="20"/>
                <w:szCs w:val="20"/>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52"/>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8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40" w:type="dxa"/>
            <w:vAlign w:val="bottom"/>
          </w:tcPr>
          <w:p>
            <w:pPr>
              <w:spacing w:after="0"/>
              <w:rPr>
                <w:sz w:val="24"/>
                <w:szCs w:val="24"/>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(45,824)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(44,307)</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(1,517)</w:t>
            </w: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earnings of joint ventures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7"/>
        </w:trPr>
        <w:tc>
          <w:tcPr>
            <w:tcW w:w="37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(2,368)</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(1,754.1)%</w:t>
            </w:r>
          </w:p>
        </w:tc>
      </w:tr>
      <w:tr>
        <w:trPr>
          <w:trHeight w:val="33"/>
        </w:trPr>
        <w:tc>
          <w:tcPr>
            <w:tcW w:w="3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3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5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$1.5 million increase in interest expense was attributable to the increasing variable interest rates associated with the outstanding debt. To minimize the impact of these increasing rates, the Company repriced its first lien debt in June 2018</w:t>
      </w:r>
    </w:p>
    <w:p>
      <w:pPr>
        <w:sectPr>
          <w:pgSz w:w="11900" w:h="16838" w:orient="portrait"/>
          <w:cols w:equalWidth="0" w:num="1">
            <w:col w:w="11240"/>
          </w:cols>
          <w:pgMar w:left="240" w:top="121" w:right="419" w:bottom="1440" w:gutter="0" w:footer="0" w:header="0"/>
        </w:sect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240" w:top="121" w:right="41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resulting in a lower spread over the underlying interest rate. Additionally, the interest rate cap contracts entered into in 2017 partially mitigated the increase in interest expense.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other, net was primarily due to costs incurred associated with the repricing of the Previous First Lien Term Loan.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34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jc w:val="center"/>
              <w:ind w:right="619"/>
              <w:spacing w:after="0"/>
              <w:rPr>
                <w:sz w:val="20"/>
                <w:szCs w:val="20"/>
                <w:color w:val="auto"/>
              </w:rPr>
            </w:pPr>
            <w:r>
              <w:rPr>
                <w:rFonts w:ascii="Arial" w:cs="Arial" w:eastAsia="Arial" w:hAnsi="Arial"/>
                <w:sz w:val="16"/>
                <w:szCs w:val="16"/>
                <w:b w:val="1"/>
                <w:bCs w:val="1"/>
                <w:color w:val="auto"/>
                <w:w w:val="91"/>
              </w:rPr>
              <w:t>Year Ended December 31,</w:t>
            </w:r>
          </w:p>
        </w:tc>
        <w:tc>
          <w:tcPr>
            <w:tcW w:w="7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auto"/>
              </w:rPr>
              <w:t>Variance</w:t>
            </w:r>
          </w:p>
        </w:tc>
        <w:tc>
          <w:tcPr>
            <w:tcW w:w="740" w:type="dxa"/>
            <w:vAlign w:val="bottom"/>
          </w:tcPr>
          <w:p>
            <w:pPr>
              <w:spacing w:after="0"/>
              <w:rPr>
                <w:sz w:val="20"/>
                <w:szCs w:val="20"/>
                <w:color w:val="auto"/>
              </w:rPr>
            </w:pPr>
          </w:p>
        </w:tc>
      </w:tr>
      <w:tr>
        <w:trPr>
          <w:trHeight w:val="33"/>
        </w:trPr>
        <w:tc>
          <w:tcPr>
            <w:tcW w:w="3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52"/>
        </w:trPr>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80" w:type="dxa"/>
            <w:vAlign w:val="bottom"/>
            <w:gridSpan w:val="6"/>
          </w:tcPr>
          <w:p>
            <w:pPr>
              <w:jc w:val="center"/>
              <w:ind w:right="25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40" w:type="dxa"/>
            <w:vAlign w:val="bottom"/>
          </w:tcPr>
          <w:p>
            <w:pPr>
              <w:spacing w:after="0"/>
              <w:rPr>
                <w:sz w:val="24"/>
                <w:szCs w:val="24"/>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6"/>
                <w:szCs w:val="16"/>
                <w:color w:val="auto"/>
              </w:rPr>
              <w:t>Income tax benefit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(2,653)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(18,585)</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19"/>
              <w:spacing w:after="0"/>
              <w:rPr>
                <w:sz w:val="20"/>
                <w:szCs w:val="20"/>
                <w:color w:val="auto"/>
              </w:rPr>
            </w:pPr>
            <w:r>
              <w:rPr>
                <w:rFonts w:ascii="Arial" w:cs="Arial" w:eastAsia="Arial" w:hAnsi="Arial"/>
                <w:sz w:val="16"/>
                <w:szCs w:val="16"/>
                <w:color w:val="auto"/>
              </w:rPr>
              <w:t>15,932</w:t>
            </w:r>
          </w:p>
        </w:tc>
        <w:tc>
          <w:tcPr>
            <w:tcW w:w="740" w:type="dxa"/>
            <w:vAlign w:val="bottom"/>
          </w:tcPr>
          <w:p>
            <w:pPr>
              <w:jc w:val="right"/>
              <w:spacing w:after="0"/>
              <w:rPr>
                <w:sz w:val="20"/>
                <w:szCs w:val="20"/>
                <w:color w:val="auto"/>
              </w:rPr>
            </w:pPr>
            <w:r>
              <w:rPr>
                <w:rFonts w:ascii="Arial" w:cs="Arial" w:eastAsia="Arial" w:hAnsi="Arial"/>
                <w:sz w:val="16"/>
                <w:szCs w:val="16"/>
                <w:color w:val="auto"/>
              </w:rPr>
              <w:t>(85.7)%</w:t>
            </w:r>
          </w:p>
        </w:tc>
      </w:tr>
    </w:tbl>
    <w:p>
      <w:pPr>
        <w:spacing w:after="0" w:line="235"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Income tax benefit decreased $15.9 million, or 85.7%. In December 2017, the United States Government enacted the Tax Cuts and Jobs Act of 2017 (“TCJA”), which significantly changed U.S. tax law by, among other things, reducing the corporate tax rate from 35% to 21%, effective January 1, 2018. Included in the tax benefit for 2017 is a benefit of $17.0 million related to the tax rate reduction, resulting in an effective income rate of 126.4%. The Company’s 2018 income tax benefit returned to a normalized run-rate with an effective income tax rate of 30.3%.</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(Loss) Income and Other Comprehensive (Loss) Income</w:t>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560"/>
              <w:spacing w:after="0"/>
              <w:rPr>
                <w:sz w:val="20"/>
                <w:szCs w:val="20"/>
                <w:color w:val="auto"/>
              </w:rPr>
            </w:pPr>
            <w:r>
              <w:rPr>
                <w:rFonts w:ascii="Arial" w:cs="Arial" w:eastAsia="Arial" w:hAnsi="Arial"/>
                <w:sz w:val="16"/>
                <w:szCs w:val="16"/>
                <w:b w:val="1"/>
                <w:bCs w:val="1"/>
                <w:color w:val="auto"/>
                <w:w w:val="98"/>
              </w:rPr>
              <w:t>Variance</w:t>
            </w:r>
          </w:p>
        </w:tc>
        <w:tc>
          <w:tcPr>
            <w:tcW w:w="780" w:type="dxa"/>
            <w:vAlign w:val="bottom"/>
          </w:tcPr>
          <w:p>
            <w:pPr>
              <w:spacing w:after="0"/>
              <w:rPr>
                <w:sz w:val="20"/>
                <w:szCs w:val="20"/>
                <w:color w:val="auto"/>
              </w:rPr>
            </w:pPr>
          </w:p>
        </w:tc>
      </w:tr>
      <w:tr>
        <w:trPr>
          <w:trHeight w:val="33"/>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2"/>
        </w:trPr>
        <w:tc>
          <w:tcPr>
            <w:tcW w:w="6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6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80" w:type="dxa"/>
            <w:vAlign w:val="bottom"/>
          </w:tcPr>
          <w:p>
            <w:pPr>
              <w:spacing w:after="0"/>
              <w:rPr>
                <w:sz w:val="24"/>
                <w:szCs w:val="24"/>
                <w:color w:val="auto"/>
              </w:rPr>
            </w:pPr>
          </w:p>
        </w:tc>
      </w:tr>
      <w:tr>
        <w:trPr>
          <w:trHeight w:val="270"/>
        </w:trPr>
        <w:tc>
          <w:tcPr>
            <w:tcW w:w="60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(6,115)</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3,878</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(9,993)</w:t>
            </w:r>
          </w:p>
        </w:tc>
        <w:tc>
          <w:tcPr>
            <w:tcW w:w="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(257.7)%</w:t>
            </w:r>
          </w:p>
        </w:tc>
      </w:tr>
      <w:tr>
        <w:trPr>
          <w:trHeight w:val="33"/>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100"/>
              <w:spacing w:after="0"/>
              <w:rPr>
                <w:sz w:val="20"/>
                <w:szCs w:val="20"/>
                <w:color w:val="auto"/>
              </w:rPr>
            </w:pPr>
            <w:r>
              <w:rPr>
                <w:rFonts w:ascii="Arial" w:cs="Arial" w:eastAsia="Arial" w:hAnsi="Arial"/>
                <w:sz w:val="16"/>
                <w:szCs w:val="16"/>
                <w:color w:val="auto"/>
              </w:rPr>
              <w:t>Changes in unrealized gains on cash flow hedges, net of income taxes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716</w:t>
            </w: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9"/>
              </w:rPr>
              <w:t>1,234.5 %</w:t>
            </w: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1,234.5 %</w:t>
            </w:r>
          </w:p>
        </w:tc>
      </w:tr>
      <w:tr>
        <w:trPr>
          <w:trHeight w:val="244"/>
        </w:trPr>
        <w:tc>
          <w:tcPr>
            <w:tcW w:w="6020" w:type="dxa"/>
            <w:vAlign w:val="bottom"/>
          </w:tcPr>
          <w:p>
            <w:pPr>
              <w:ind w:left="20"/>
              <w:spacing w:after="0"/>
              <w:rPr>
                <w:sz w:val="20"/>
                <w:szCs w:val="20"/>
                <w:color w:val="auto"/>
              </w:rPr>
            </w:pPr>
            <w:r>
              <w:rPr>
                <w:rFonts w:ascii="Arial" w:cs="Arial" w:eastAsia="Arial" w:hAnsi="Arial"/>
                <w:sz w:val="16"/>
                <w:szCs w:val="16"/>
                <w:color w:val="auto"/>
              </w:rPr>
              <w:t>Net comprehensive (loss) income</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(5,341)</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3,936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(9,277)</w:t>
            </w:r>
          </w:p>
        </w:tc>
        <w:tc>
          <w:tcPr>
            <w:tcW w:w="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(235.7)%</w:t>
            </w: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Net income decreased $10.0 million. The decrease was primarily driven by the run-rate normalization of the impact of the tax reform legislation, which had a favorable impact in 2017.</w:t>
      </w:r>
    </w:p>
    <w:p>
      <w:pPr>
        <w:spacing w:after="0" w:line="17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Changes in unrealized gains on cash flow hedges, net of income taxes, increased $0.7 million. The increase in the variable interest rates during 2018 resulted in a corresponding increase in the fair value of the interest rate cap.</w:t>
      </w:r>
    </w:p>
    <w:p>
      <w:pPr>
        <w:spacing w:after="0" w:line="170"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Net comprehensive loss was $5.3 million for the twelve months ended December 31, 2018, compared to net comprehensive income of $3.9 million for the twelve months ended December 31, 2017, primarily related to the impact of the tax reform legislation previously discussed.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years ended December 31, 2019 and 2018, the Company’s primary sources of liquidity were cash on hand of $67.1 million and $36.4 million, respectively, as well as borrowings under its credit facilities, described further below. During the years ended December 31, 2019 and 2018, the Company’s positive cash flows from operations have enabled investments in pharmacy and information technology infrastructure to support growth and create additional capacity in the future, as well as pursue acquisitions.</w:t>
      </w:r>
    </w:p>
    <w:p>
      <w:pPr>
        <w:spacing w:after="0" w:line="187"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Company’s primary uses of cash include supporting our ongoing business activities, integration efforts, and investment in various acquisitions and our infrastructure to support additional business volumes. Ongoing operating cash outflows are associated with procuring and dispensing prescription drugs, personnel and other costs associated with servicing patients, as well as paying cash interest on the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payments on our outstanding debt. In addition to these ongoing investing and financing activities, during the year ended December 31, 2019, the Company entered into the Merger Agreement, and the Merger resulted in cash used in investing activities of $700.2 million and net cash provided by financing activities for net proceeds of indebtedness of $724.3 million.</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business strategy includes the selective acquisition of additional infusion pharmacies and other related healthcare businesses.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225" w:lineRule="exact"/>
        <w:rPr>
          <w:sz w:val="20"/>
          <w:szCs w:val="20"/>
          <w:color w:val="auto"/>
        </w:rPr>
      </w:pPr>
    </w:p>
    <w:p>
      <w:pPr>
        <w:ind w:right="360" w:firstLine="324"/>
        <w:spacing w:after="0" w:line="297" w:lineRule="auto"/>
        <w:rPr>
          <w:sz w:val="20"/>
          <w:szCs w:val="20"/>
          <w:color w:val="auto"/>
        </w:rPr>
      </w:pPr>
      <w:r>
        <w:rPr>
          <w:rFonts w:ascii="Arial" w:cs="Arial" w:eastAsia="Arial" w:hAnsi="Arial"/>
          <w:sz w:val="16"/>
          <w:szCs w:val="16"/>
          <w:color w:val="auto"/>
        </w:rPr>
        <w:t>The Company’s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During 2015, Option Care entered into two credit arrangements administered by Bank of America, N.A. and U.S. Bank. The agreements provided for up to $645.0 million in senior secured credit facilities through an $80.0 million revolving credit facility (the “Previous Revolving Credit Facility”), a $415.0 million first lien term loan (the “Previous First Lien Term Loan”), and a $150.0 million second lien term loan (the “Previous Second Lien Term Loan”, and together with the Previous First Lien Term Loan, the “Previous Term Loans”, and the Previous Term Loans, together with the Previous Revolving Credit Facility, the “Previous Credit Facilities”). Amounts borrowed under the credit agreements were secured by substantially all of the assets of the Company.</w:t>
      </w:r>
    </w:p>
    <w:p>
      <w:pPr>
        <w:spacing w:after="0" w:line="15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On August 6, 2019, the Company repaid the outstanding balance of the Previous Term Loans and retired the outstanding credit arrangements for $551.7 million. Proceeds of $575.0 million from the two new credit arrangements and indenture, discussed below, were also used, in part, to repay the outstanding debt of BioScrip as of the Merger.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conjunction with the Merger, the Company entered into an asset-based-lending revolving credit facility and a first lien term loan facility. The Company also issued senior secured second lien PIK toggle floating rate notes due 2027 (the “Second Lien Notes”). The two new credit agreements and the indenture were entered into on August 6, 2019 and provide for up to $1,475.0 million in senior secured credit facilities through a $150.0 million asset-based-lending revolving credit facility (the “ABL Facility”), a $925.0 million first lien term loan (the “First Lien Term Loan”, and together with the ABL Facility, the “Loan Facilities”), and a $400.0 million issuance of Second Lien Notes. Amounts borrowed under the credit agreements are secured by substantially all of the assets of the Company.</w:t>
      </w:r>
    </w:p>
    <w:p>
      <w:pPr>
        <w:spacing w:after="0" w:line="19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ABL Facility credit agreement provides for borrowings up to $150.0 million, which matures on August 6, 2024. The ABL Facility bears interest at a per annum rate that is determined by the Company’s periodic selection of rate type, either the Base Rate or the Eurocurrency Rate. The Base Rate is charged between 1.25% and 1.75% and the Eurocurrency Rate is charged between 2.25% and 2.75% based on the historical excess availability as a percentage of the Line Cap, as defined in the ABL Facility credit agreement. The revolving credit facility contains commitment fees payable on the unused portion of the ABL ranging from 0.25% to 0.375%, depending on various factors including the Company’s leverage ratio, type of loan and rate type, and letter of credit fees of 2.50%. The Company had no outstanding borrowings under the ABL Facility at December 31, 2019. The Company had $9.6 million of undrawn letters of credit issued and outstanding, resulting in net borrowing availability under the ABL of $140.4 million as of December 31, 2019.</w:t>
      </w:r>
    </w:p>
    <w:p>
      <w:pPr>
        <w:spacing w:after="0" w:line="16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principal balance of the First Lien Term Loan is repayable in quarterly installments of $2.3 million plus interest, with a final payment of all remaining outstanding principal due on August 6, 2026. The quarterly principal payments will commence in March of 2020.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6.20% as of December 31, 2019.</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Second Lien Notes mature on August 6, 2027. Interest on the Second Lien Notes is payable quarterly and is at the greater of 1.00% or LIBOR, plus 8.75%. The Company elected to pay-in-kind the first quarterly interest payment, due in November 2019, which resulted in the Company capitalizing the interest payment to the principal balance on the interest payment date, increasing the outstanding principal balance to $412.3 million. The interest rate on the Second Lien Notes was 10.66% as of December 31,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selected data from Option Care Health’s consolidated statements of cash flows for the years ended December 31, 2019 and 2018:</w:t>
      </w:r>
    </w:p>
    <w:p>
      <w:pPr>
        <w:spacing w:after="0" w:line="333" w:lineRule="exact"/>
        <w:rPr>
          <w:sz w:val="20"/>
          <w:szCs w:val="20"/>
          <w:color w:val="auto"/>
        </w:rPr>
      </w:pPr>
    </w:p>
    <w:tbl>
      <w:tblPr>
        <w:tblLayout w:type="fixed"/>
        <w:tblInd w:w="158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7"/>
          </w:tcPr>
          <w:p>
            <w:pPr>
              <w:jc w:val="center"/>
              <w:ind w:right="159"/>
              <w:spacing w:after="0"/>
              <w:rPr>
                <w:sz w:val="20"/>
                <w:szCs w:val="20"/>
                <w:color w:val="auto"/>
              </w:rPr>
            </w:pPr>
            <w:r>
              <w:rPr>
                <w:rFonts w:ascii="Arial" w:cs="Arial" w:eastAsia="Arial" w:hAnsi="Arial"/>
                <w:sz w:val="16"/>
                <w:szCs w:val="16"/>
                <w:b w:val="1"/>
                <w:bCs w:val="1"/>
                <w:color w:val="auto"/>
                <w:w w:val="90"/>
              </w:rPr>
              <w:t>Year Ended December 31,</w:t>
            </w:r>
          </w:p>
        </w:tc>
      </w:tr>
      <w:tr>
        <w:trPr>
          <w:trHeight w:val="33"/>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w w:val="98"/>
              </w:rPr>
              <w:t>Variance</w:t>
            </w:r>
          </w:p>
        </w:tc>
      </w:tr>
      <w:tr>
        <w:trPr>
          <w:trHeight w:val="33"/>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52"/>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color w:val="auto"/>
                <w:w w:val="92"/>
              </w:rPr>
              <w:t>(in thousands)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478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39,467</w:t>
            </w:r>
          </w:p>
        </w:tc>
        <w:tc>
          <w:tcPr>
            <w:tcW w:w="12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24,428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15,039</w:t>
            </w:r>
          </w:p>
        </w:tc>
      </w:tr>
      <w:tr>
        <w:trPr>
          <w:trHeight w:val="33"/>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(727,826)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(690,823)</w:t>
            </w: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719,024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723,174</w:t>
            </w:r>
          </w:p>
        </w:tc>
      </w:tr>
      <w:tr>
        <w:trPr>
          <w:trHeight w:val="33"/>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47,390</w:t>
            </w: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(16,725)</w:t>
            </w:r>
          </w:p>
        </w:tc>
      </w:tr>
      <w:tr>
        <w:trPr>
          <w:trHeight w:val="33"/>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30,665</w:t>
            </w: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the year ended December 31, 2019, Option Care Health generated $39.5 million in cash flow from operating activities, a $15.0 million increase over the year ended December 31, 2018. The cash provided by operating activities for the year ended December 31, 2019 was driven by working capital efficiencies, primarily in accounts receivable, as the Company’s efforts to increase cash velocity and improve the aging of the accounts receivable balance resulted in stronger cash collections. The strong collections were partially offset by the change in accounts payable as the Company had a net pay down of acquired payables from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For the year ended December 31, 2019, Option Care Health used $727.8 million in cash for investing activities as compared to $37.0 million for the year ended December 31, 2018. For the year ended December 31, 2019, the cash used was primarily attributable to the Merger of $700.2 million as well as investments in pharmacy and information technology infrastructure of $28.3 million. Similarly, for the year ended December 31, 2018, $26.3 million was invested in our pharmacies and information technology and $10.7 million was deployed for the Baptist Health and Home IV, Inc. acquisitions.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Cash flows from financing increased $723.2 million from cash used in financing activities of $4.2 million for the year ended December 31, 2018 to cash provided by financing activities of $719.0 million for the year ended December 31, 2019. The change is primarily related to the proceeds from the issuance of new debt of $981.1 million, partially offset by the retirement of the Company’s previous debt of $226.7 million and the payment of deferred financing costs of $30.0 million for the year ended December 31, 2019. Cash used in financing activities for the year ended December 31, 2018 primarily related to repayments of the Previous Credit Facilities.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presents selected data from Option Care Health’s consolidated statements of cash flows for the years ended December 31, 2018 and 2017:</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2" w:right="2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7"/>
          </w:tcPr>
          <w:p>
            <w:pPr>
              <w:jc w:val="center"/>
              <w:ind w:right="99"/>
              <w:spacing w:after="0"/>
              <w:rPr>
                <w:sz w:val="20"/>
                <w:szCs w:val="20"/>
                <w:color w:val="auto"/>
              </w:rPr>
            </w:pPr>
            <w:r>
              <w:rPr>
                <w:rFonts w:ascii="Arial" w:cs="Arial" w:eastAsia="Arial" w:hAnsi="Arial"/>
                <w:sz w:val="16"/>
                <w:szCs w:val="16"/>
                <w:b w:val="1"/>
                <w:bCs w:val="1"/>
                <w:color w:val="auto"/>
                <w:w w:val="91"/>
              </w:rPr>
              <w:t>Year Ended December 31,</w:t>
            </w:r>
          </w:p>
        </w:tc>
      </w:tr>
      <w:tr>
        <w:trPr>
          <w:trHeight w:val="33"/>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Variance</w:t>
            </w:r>
          </w:p>
        </w:tc>
      </w:tr>
      <w:tr>
        <w:trPr>
          <w:trHeight w:val="33"/>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52"/>
        </w:trPr>
        <w:tc>
          <w:tcPr>
            <w:tcW w:w="5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color w:val="auto"/>
                <w:w w:val="90"/>
              </w:rPr>
              <w:t>(in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59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24,428</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37,871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(13,443)</w:t>
            </w:r>
          </w:p>
        </w:tc>
      </w:tr>
      <w:tr>
        <w:trPr>
          <w:trHeight w:val="33"/>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(12,531)</w:t>
            </w: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(24,974)</w:t>
            </w:r>
          </w:p>
        </w:tc>
      </w:tr>
      <w:tr>
        <w:trPr>
          <w:trHeight w:val="237"/>
        </w:trPr>
        <w:tc>
          <w:tcPr>
            <w:tcW w:w="5940" w:type="dxa"/>
            <w:vAlign w:val="bottom"/>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44,867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8,249</w:t>
            </w:r>
          </w:p>
        </w:tc>
      </w:tr>
      <w:tr>
        <w:trPr>
          <w:trHeight w:val="33"/>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(16,725)</w:t>
            </w: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30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For the year ended December 31, 2018, Option Care Health generated $24.4 million in positive cash flow from operating activities. This represented a $13.4 million decrease from the $37.9 million generated for the year ended December 31, 2017. The primary drivers of the decline in cash provided by operating activities included: (i) a reduction in accounts payable and accrued expenses and other current liabilities of $32.1 million related to timing of vendor payments in the ordinary course of business; and (ii) an increase in prepaid expenses and other current assets of $17.2 million primarily driven by the timing of vendor rebate payments. Partially offsetting these declines were the following improvements: (i) an improvement in accounts receivable of $13.0 million as the Company was recovering from the prior year disruption impact of the new pharmacy dispensing system deployment and billing center consolidation; (ii) an improvement in operating income of $11.0 million; (iii) a $6.7 million increase in accrued compensation and employee benefits related to the timing of payroll cycles; and (iv) a $6.4 million reduction in inventory.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306"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For the year ended December 31, 2018, Option Care Health used $37.0 million in cash for investing activities. This was primarily attributable to capital investments in pharmacy and information technology infrastructure, as well as to fund the Baptist and Home IV acquisitions.</w:t>
      </w:r>
    </w:p>
    <w:p>
      <w:pPr>
        <w:spacing w:after="0" w:line="1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increase of $12.5 million in net cash used in investing activities for the year ended December 31, 2018 compared to the year ended December 31, 2017 is due primarily to the Baptist and Home IV acquisitions.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30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the year ended December 31, 2018, Option Care Health used $4.2 million in cash for financing activities. This was related to repayments of long-term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Contractual Obligations</w:t>
      </w:r>
    </w:p>
    <w:p>
      <w:pPr>
        <w:spacing w:after="0" w:line="225"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 following table presents Option Care Health’s commitments and contractual obligations as of December 31, 2019, as well as its long-term obligations: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6"/>
          </w:tcPr>
          <w:p>
            <w:pPr>
              <w:jc w:val="center"/>
              <w:ind w:left="659"/>
              <w:spacing w:after="0"/>
              <w:rPr>
                <w:sz w:val="20"/>
                <w:szCs w:val="20"/>
                <w:color w:val="auto"/>
              </w:rPr>
            </w:pPr>
            <w:r>
              <w:rPr>
                <w:rFonts w:ascii="Arial" w:cs="Arial" w:eastAsia="Arial" w:hAnsi="Arial"/>
                <w:sz w:val="16"/>
                <w:szCs w:val="16"/>
                <w:b w:val="1"/>
                <w:bCs w:val="1"/>
                <w:color w:val="auto"/>
                <w:w w:val="91"/>
              </w:rPr>
              <w:t>Payments Due by Period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Less than 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More than 5</w:t>
            </w:r>
          </w:p>
        </w:tc>
      </w:tr>
      <w:tr>
        <w:trPr>
          <w:trHeight w:val="210"/>
        </w:trPr>
        <w:tc>
          <w:tcPr>
            <w:tcW w:w="526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w w:val="88"/>
              </w:rPr>
              <w:t>Total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year</w:t>
            </w:r>
          </w:p>
        </w:tc>
        <w:tc>
          <w:tcPr>
            <w:tcW w:w="16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1 - 3 years</w:t>
            </w: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3-5 years</w:t>
            </w:r>
          </w:p>
        </w:tc>
        <w:tc>
          <w:tcPr>
            <w:tcW w:w="1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years</w:t>
            </w:r>
          </w:p>
        </w:tc>
      </w:tr>
      <w:tr>
        <w:trPr>
          <w:trHeight w:val="33"/>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52"/>
        </w:trPr>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6"/>
                <w:szCs w:val="16"/>
                <w:i w:val="1"/>
                <w:iCs w:val="1"/>
                <w:color w:val="auto"/>
                <w:w w:val="90"/>
              </w:rPr>
              <w:t>(in thousands)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debt obligations </w:t>
            </w:r>
            <w:r>
              <w:rPr>
                <w:rFonts w:ascii="Arial" w:cs="Arial" w:eastAsia="Arial" w:hAnsi="Arial"/>
                <w:sz w:val="21"/>
                <w:szCs w:val="21"/>
                <w:color w:val="auto"/>
                <w:vertAlign w:val="superscript"/>
              </w:rPr>
              <w:t>(1)</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1,337,256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1,291,006</w:t>
            </w: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Interest payments on long-term debt obligations </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741,228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101,121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200,498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198,171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241,438</w:t>
            </w: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24,983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17,662</w:t>
            </w:r>
          </w:p>
        </w:tc>
      </w:tr>
      <w:tr>
        <w:trPr>
          <w:trHeight w:val="244"/>
        </w:trPr>
        <w:tc>
          <w:tcPr>
            <w:tcW w:w="5260" w:type="dxa"/>
            <w:vAlign w:val="bottom"/>
          </w:tcPr>
          <w:p>
            <w:pPr>
              <w:ind w:left="180"/>
              <w:spacing w:after="0"/>
              <w:rPr>
                <w:sz w:val="20"/>
                <w:szCs w:val="20"/>
                <w:color w:val="auto"/>
              </w:rPr>
            </w:pPr>
            <w:r>
              <w:rPr>
                <w:rFonts w:ascii="Arial" w:cs="Arial" w:eastAsia="Arial" w:hAnsi="Arial"/>
                <w:sz w:val="16"/>
                <w:szCs w:val="16"/>
                <w:color w:val="auto"/>
              </w:rPr>
              <w:t>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2,172,741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135,354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252,158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235,123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1,550,106</w:t>
            </w:r>
          </w:p>
        </w:tc>
      </w:tr>
      <w:tr>
        <w:trPr>
          <w:trHeight w:val="20"/>
        </w:trPr>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aggregate principal payment on the indebtedness from the First Lien Term Loan and the Second Lien Notes incurred in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payments calculated based on LIBOR rate as of December 31, 2019. Actual payments are based on changes in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LIBOR. Calculated interest payments exclude interest rate swap agreements the Company entered into in connection with the new indebtedness incurred in 2019.</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Other noncurrent liabilities and deferred income taxes were excluded from this table, as the Company is unable to determine the timing of future payments. There were no significant capital expenditure commitments as of December 31, 2019. The contractual commitment amounts in the table above are associated with agreements that are enforceable and legally binding.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2019, Option Care Health did not have any off-balance sheet arrangements, as defined in Item 303(a)(4)(ii) of Regulation 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prepares its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93"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 xml:space="preserve">The following discussion is not intended to be a comprehensive list of all the accounting policies, estimates or judgments made in the preparation of our financial statements. A discussion of our significant accounting policies, including further discussion of the accounting policies described below, can be found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within the Notes to the Consolidated Financial Statements included in Item 8 of this Annual Report.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and Accounts Receivable</w:t>
      </w:r>
    </w:p>
    <w:p>
      <w:pPr>
        <w:spacing w:after="0" w:line="9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Net revenue is reported at the net realizable value amount that reflects the consideration the Company expects to receive in exchange for providing services. Revenues are from commercial payers, government payers, and patients for goods and services provided and are based on a gross price based on payer contracts, fee schedules, or other arrangements less any implicit price concessions.</w:t>
      </w:r>
    </w:p>
    <w:p>
      <w:pPr>
        <w:spacing w:after="0" w:line="10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00"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0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0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Company’s accounts receivable are reported at the net realizable value amount that reflects the consideration the Company expects to receive in exchange for providing services, which is inclusive of adjustments for price concessions. The majority of accounts receivable are due from private insurance carriers and governmental health care programs, such as Medicare and Medicaid.</w:t>
      </w:r>
    </w:p>
    <w:p>
      <w:pPr>
        <w:spacing w:after="0" w:line="10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Included in accounts receivable are earned but unbilled gross receivables. Delays ranging from one day up to several weeks between the date of service and billing can occur due to delays in obtaining certain required payer-specific documentation from internal and external sources.</w:t>
      </w:r>
    </w:p>
    <w:p>
      <w:pPr>
        <w:spacing w:after="0" w:line="6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Prior to the adoption of ASC 606, estimates of uncollectible accounts receivable were recorded as either a pricing adjustment to revenue (“contractual adjustment”) or as an uncollectible account to provision for doubtful accounts. The Company recorded an allowance for doubtful accounts based on historical experience and a detailed assessment of the collectability of its accounts receivable. In estimating the allowance for doubtful accounts, the Company considered, among other factors, (i) the balance and aging composition of the accounts receivable, (ii) the Company’s historical write-offs and recoveries, (iii) the creditworthiness of its payers, and (iv) general economic conditions. Accounts receivable were written-off as bad debts after all reasonable collection efforts have been exhausted. Subsequent to the adoption of ASC 606, an allowance for doubtful accounts is established only as a result of an adverse change in the payers’ ability to pay outstanding billings. The Company recorded an allowance for contractual adjustment based on its historical experience of additional revenue being recorded or revenue being written off when amounts received are greater than or less than the originally estimated net realizable value. The detailed assessments included, among other factors, (i) current over/under payments which had not yet been applied to an account, (ii) historical contractual adjustments, and (iii) an estimate for contractual adjustments expected to be realized in the future. Contractual allowance estimates were adjusted to actual amounts as cash was received and claims were settled.</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Goodwill represents the excess of the purchase price over the fair value of assets acquired and liabilities assumed. The Company tests goodwill for impairment annually, or more frequently whenever events or circumstances indicate impairment may exist. Goodwill is stated at cost less accumulated impairment losses. The Company completes its goodwill impairment test annually in the fourth quarter.</w:t>
      </w:r>
    </w:p>
    <w:p>
      <w:pPr>
        <w:spacing w:after="0" w:line="10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06"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A qualitative impairment analysis was performed in the fourth quarter of 2019 to assess whether it is more likely than not that the fair value of the Company’s reporting unit is less than its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2019.</w:t>
      </w:r>
    </w:p>
    <w:p>
      <w:pPr>
        <w:spacing w:after="0" w:line="10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 quantitative impairment analysis was performed in the fourth quarter of 2018 and 2017, and the Company estimated the fair value of its reporting unit using an income approach. The income approach requires the Company to estimate a number of factors for its reporting unit, including projected future operating results, economic projections, anticipated future cash flows, and discount rates. The fair value determined using he income approach was then compared to marketplace fair value data from within a comparable industry grouping for reasonableness. The Company determined that there was no goodwill impairment in 2018 or 2017.</w:t>
      </w:r>
    </w:p>
    <w:p>
      <w:pPr>
        <w:spacing w:after="0" w:line="107"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The determination of fair value and the allocation of that value to individual assets and liabilities within the reporting unit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inherent uncertainty involved in making such estimates. Changes in assumptions concerning future financial results or other underlying assumptions could have a significant impact on either the fair value of the reporting unit, the amount of the goodwill impairment charge, or both.</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 xml:space="preserve">The Company accounts for business acquisitions in accordance with ASC Topic 805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assets and liabilities being recorded at their acquisition date fair values and goodwill being calculated as the purchase price in excess of the net identifiable assets. The application of ASC 805 requires management to make estimates and assumptions when determining the acquisition date fair values of acquired assets and assumed liabilities. Management’s estimates and assumptions include, but are not limited to, the future cash flows an asset is expected to generate and the weighted-average cost of capital.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24"/>
        <w:spacing w:after="0" w:line="219" w:lineRule="exact"/>
        <w:rPr>
          <w:sz w:val="20"/>
          <w:szCs w:val="20"/>
          <w:color w:val="auto"/>
        </w:rPr>
      </w:pPr>
      <w:r>
        <w:rPr>
          <w:rFonts w:ascii="Arial" w:cs="Arial" w:eastAsia="Arial" w:hAnsi="Arial"/>
          <w:sz w:val="17"/>
          <w:szCs w:val="17"/>
          <w:color w:val="auto"/>
        </w:rPr>
        <w:t>The Company’s primary market risk exposure is changing LIBOR</w:t>
      </w:r>
      <w:r>
        <w:rPr>
          <w:rFonts w:ascii="MS PGothic" w:cs="MS PGothic" w:eastAsia="MS PGothic" w:hAnsi="MS PGothic"/>
          <w:sz w:val="17"/>
          <w:szCs w:val="17"/>
          <w:color w:val="auto"/>
        </w:rPr>
        <w:t>‑</w:t>
      </w:r>
      <w:r>
        <w:rPr>
          <w:rFonts w:ascii="Arial" w:cs="Arial" w:eastAsia="Arial" w:hAnsi="Arial"/>
          <w:sz w:val="17"/>
          <w:szCs w:val="17"/>
          <w:color w:val="auto"/>
        </w:rPr>
        <w:t>based interest rates. Interest rate risk is highly sensitive due to many factors, including U.S. monetary and tax policies, U.S. and international economic factors and other factors beyond our control. Our First Lien Term Loan bears interest at the Eurocurrency Rate, as defined, plus 4.50%, based on our leverage ratio as of December 31, 2019. Our Second Lien Notes bear interest at the greater of 1.00% or LIBOR, plus 8.75%. Our ABL Facility bears interest at the Eurocurrency Rate, as defined, plus 2.25%. At December 31, 2019, we had total outstanding debt of $925.0 million under our First Lien Term Loan. As of December 31, 2019, we had $412.3 million Second Lien Notes issued and outstanding. We had no outstanding borrowings under the ABL Facility as of December 31, 2019.</w:t>
      </w:r>
    </w:p>
    <w:p>
      <w:pPr>
        <w:spacing w:after="0" w:line="20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To minimize interest rate risk, the Company entered into two interest rate swap contracts to hedge against fluctuations in LIBOR rates on the First Lien Term Loan and Second Lien Term Loan. The first interest rate swap for $925.0 million notional was effective in August 2019 with $911.1 million designated as a cash flow hedge against the underlying interest rate on the First Lien Term Loan indexed to one-month LIBOR through August 2021. The second interest rate swap for $400.0 million notional was effective in November 2019 and is designated as a cash flow hedge against the underlying interest rate on the Second Lien Notes interest payment indexed to three-month LIBOR through November 2020.</w:t>
      </w:r>
    </w:p>
    <w:p>
      <w:pPr>
        <w:spacing w:after="0" w:line="173"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 xml:space="preserve">Based on the amounts outstanding coupled with interest rate swaps, a 100-basis point increase or decrease in market interest rates over a twelve-month period would result in a change to interest expense of $0.9 million. We do not anticipate a significant impact from a change in market interest rates through the period of the interest rate swaps, discussed further in Note 13, </w:t>
      </w:r>
      <w:r>
        <w:rPr>
          <w:rFonts w:ascii="Arial" w:cs="Arial" w:eastAsia="Arial" w:hAnsi="Arial"/>
          <w:sz w:val="18"/>
          <w:szCs w:val="18"/>
          <w:i w:val="1"/>
          <w:iCs w:val="1"/>
          <w:color w:val="auto"/>
        </w:rPr>
        <w:t>Derivative Instruments</w:t>
      </w:r>
      <w:r>
        <w:rPr>
          <w:rFonts w:ascii="Arial" w:cs="Arial" w:eastAsia="Arial" w:hAnsi="Arial"/>
          <w:sz w:val="18"/>
          <w:szCs w:val="18"/>
          <w:color w:val="auto"/>
        </w:rPr>
        <w:t>, of the consolidated financial statements and the notes related thereto included in Item 8 of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All sales are in the U.S. and are U.S.-dollar denominated. Option Care Health makes a limited amount of purchases from foreign sources, which subjects Option Care Health to foreign currency exchange risk. As a result of the limited amount of transactions in a foreign currency, Option Care Health does not expect its future cash flows or operating results to be affected to any significant degree by foreign currency exchange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90" w:lineRule="exact"/>
        <w:rPr>
          <w:sz w:val="20"/>
          <w:szCs w:val="20"/>
          <w:color w:val="auto"/>
        </w:rPr>
      </w:pPr>
    </w:p>
    <w:p>
      <w:pPr>
        <w:ind w:right="160" w:firstLine="284"/>
        <w:spacing w:after="0" w:line="277" w:lineRule="auto"/>
        <w:rPr>
          <w:sz w:val="20"/>
          <w:szCs w:val="20"/>
          <w:color w:val="auto"/>
        </w:rPr>
      </w:pPr>
      <w:r>
        <w:rPr>
          <w:rFonts w:ascii="Arial" w:cs="Arial" w:eastAsia="Arial" w:hAnsi="Arial"/>
          <w:sz w:val="18"/>
          <w:szCs w:val="18"/>
          <w:color w:val="auto"/>
        </w:rPr>
        <w:t>Based on its analysis of the periods presented, the Company believes that inflation has not had a material effect on its operating results. There can be no assurance that future inflation will not have an adverse impact on the Company’s operating results and financial condition.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2" w:right="27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Care Health,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sheets of Option Care Health, Inc. and subsidiaries (the Company) as of December 31, 2019 and 2018, the related consolidated statements of comprehensive income (loss), stockholders’ equity, and cash flows for each of the years in the three-year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 year period ended December 31, 2019, in conformity with U.S. generally accepted accounting principles.</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5, 2020 expressed an unqualified opinion on the effectiveness of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revenue recognition as of January 1, 2018 and leases as of January 1, 2019 due to the adoptions of ASU No. 2014-09, “Revenue from Contracts with Customers” and ASU No. 2016-02, “Leases”.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KPMG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122" w:right="3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24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659"/>
              <w:spacing w:after="0"/>
              <w:rPr>
                <w:sz w:val="20"/>
                <w:szCs w:val="20"/>
                <w:color w:val="auto"/>
              </w:rPr>
            </w:pPr>
            <w:r>
              <w:rPr>
                <w:rFonts w:ascii="Arial" w:cs="Arial" w:eastAsia="Arial" w:hAnsi="Arial"/>
                <w:sz w:val="16"/>
                <w:szCs w:val="16"/>
                <w:b w:val="1"/>
                <w:bCs w:val="1"/>
                <w:color w:val="auto"/>
              </w:rPr>
              <w:t>2018</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36,391</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324,416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310,169</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115,876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83,340</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51,306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37,525</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558,654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467,425</w:t>
            </w:r>
          </w:p>
        </w:tc>
      </w:tr>
      <w:tr>
        <w:trPr>
          <w:trHeight w:val="169"/>
        </w:trPr>
        <w:tc>
          <w:tcPr>
            <w:tcW w:w="76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Property and equipment, net</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133,198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93,142</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right-of-use asset</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385,910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219,713</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1,425,542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632,469</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Other noncurrent assets</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22,741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15,462</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noncurrent assets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2,030,893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960,786</w:t>
            </w:r>
          </w:p>
        </w:tc>
      </w:tr>
      <w:tr>
        <w:trPr>
          <w:trHeight w:val="28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2,589,547</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1,428,211</w:t>
            </w:r>
          </w:p>
        </w:tc>
      </w:tr>
      <w:tr>
        <w:trPr>
          <w:trHeight w:val="163"/>
        </w:trPr>
        <w:tc>
          <w:tcPr>
            <w:tcW w:w="76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LIABILITIES AND STOCKHOLDERS’ EQUITY</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221,060</w:t>
            </w:r>
          </w:p>
        </w:tc>
        <w:tc>
          <w:tcPr>
            <w:tcW w:w="12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187,886</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 and employee benefits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45,765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24,895</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33,538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23,066</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operating lease liability</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20,391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9,250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4,150</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330,004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239,997</w:t>
            </w:r>
          </w:p>
        </w:tc>
      </w:tr>
      <w:tr>
        <w:trPr>
          <w:trHeight w:val="169"/>
        </w:trPr>
        <w:tc>
          <w:tcPr>
            <w:tcW w:w="76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1,277,246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535,225</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liability, net of 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58,242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6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0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2,143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33,481</w:t>
            </w:r>
          </w:p>
        </w:tc>
      </w:tr>
      <w:tr>
        <w:trPr>
          <w:trHeight w:val="33"/>
        </w:trPr>
        <w:tc>
          <w:tcPr>
            <w:tcW w:w="7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15,085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16,683</w:t>
            </w:r>
          </w:p>
        </w:tc>
      </w:tr>
      <w:tr>
        <w:trPr>
          <w:trHeight w:val="217"/>
        </w:trPr>
        <w:tc>
          <w:tcPr>
            <w:tcW w:w="7660" w:type="dxa"/>
            <w:vAlign w:val="bottom"/>
          </w:tcPr>
          <w:p>
            <w:pPr>
              <w:ind w:left="280"/>
              <w:spacing w:after="0"/>
              <w:rPr>
                <w:sz w:val="20"/>
                <w:szCs w:val="20"/>
                <w:color w:val="auto"/>
              </w:rPr>
            </w:pPr>
            <w:r>
              <w:rPr>
                <w:rFonts w:ascii="Arial" w:cs="Arial" w:eastAsia="Arial" w:hAnsi="Arial"/>
                <w:sz w:val="16"/>
                <w:szCs w:val="16"/>
                <w:color w:val="auto"/>
              </w:rPr>
              <w:t>Total noncurrent liabilities</w:t>
            </w:r>
          </w:p>
        </w:tc>
        <w:tc>
          <w:tcPr>
            <w:tcW w:w="10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1,352,716</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585,389</w:t>
            </w:r>
          </w:p>
        </w:tc>
      </w:tr>
      <w:tr>
        <w:trPr>
          <w:trHeight w:val="33"/>
        </w:trPr>
        <w:tc>
          <w:tcPr>
            <w:tcW w:w="76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10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1,682,720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825,386</w:t>
            </w:r>
          </w:p>
        </w:tc>
      </w:tr>
      <w:tr>
        <w:trPr>
          <w:trHeight w:val="20"/>
        </w:trPr>
        <w:tc>
          <w:tcPr>
            <w:tcW w:w="7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Preferred stock; $0.0001 par value; 12,500,000 shares authorized, no shares outstanding as of December 31, 2019.</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preferred stock authorized or 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49" w:lineRule="exact"/>
        <w:rPr>
          <w:sz w:val="20"/>
          <w:szCs w:val="20"/>
          <w:color w:val="auto"/>
        </w:rPr>
      </w:pPr>
    </w:p>
    <w:p>
      <w:pPr>
        <w:jc w:val="both"/>
        <w:ind w:left="340" w:right="640" w:hanging="161"/>
        <w:spacing w:after="0" w:line="278" w:lineRule="auto"/>
        <w:rPr>
          <w:sz w:val="20"/>
          <w:szCs w:val="20"/>
          <w:color w:val="auto"/>
        </w:rPr>
      </w:pPr>
      <w:r>
        <w:rPr>
          <w:rFonts w:ascii="Arial" w:cs="Arial" w:eastAsia="Arial" w:hAnsi="Arial"/>
          <w:sz w:val="16"/>
          <w:szCs w:val="16"/>
          <w:color w:val="auto"/>
        </w:rPr>
        <w:t>Common stock; $0.0001 par value: 250,000,000 shares authorized, 176,975,628 shares issued and 176,591,907 shares outstanding as of December 31, 2019; 142,613,749 shares issued and outstanding as of December 31, 2018.</w:t>
      </w:r>
    </w:p>
    <w:p>
      <w:pPr>
        <w:spacing w:after="0" w:line="22" w:lineRule="exact"/>
        <w:rPr>
          <w:sz w:val="20"/>
          <w:szCs w:val="20"/>
          <w:color w:val="auto"/>
        </w:rPr>
      </w:pPr>
    </w:p>
    <w:p>
      <w:pPr>
        <w:ind w:left="340" w:right="1000" w:hanging="161"/>
        <w:spacing w:after="0" w:line="293" w:lineRule="auto"/>
        <w:rPr>
          <w:sz w:val="20"/>
          <w:szCs w:val="20"/>
          <w:color w:val="auto"/>
        </w:rPr>
      </w:pPr>
      <w:r>
        <w:rPr>
          <w:rFonts w:ascii="Arial" w:cs="Arial" w:eastAsia="Arial" w:hAnsi="Arial"/>
          <w:sz w:val="16"/>
          <w:szCs w:val="16"/>
          <w:color w:val="auto"/>
        </w:rPr>
        <w:t>Treasury stock; 383,722 shares outstanding, at cost, as of December 31, 2019; no shares 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Paid-in capital</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Management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40"/>
        <w:spacing w:after="0"/>
        <w:tabs>
          <w:tab w:leader="none" w:pos="768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500"/>
        <w:spacing w:after="0"/>
        <w:tabs>
          <w:tab w:leader="none" w:pos="2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386" w:lineRule="exact"/>
        <w:rPr>
          <w:sz w:val="20"/>
          <w:szCs w:val="20"/>
          <w:color w:val="auto"/>
        </w:rPr>
      </w:pPr>
    </w:p>
    <w:p>
      <w:pPr>
        <w:ind w:left="500"/>
        <w:spacing w:after="0"/>
        <w:tabs>
          <w:tab w:leader="none" w:pos="238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6"/>
          <w:szCs w:val="16"/>
          <w:color w:val="auto"/>
        </w:rPr>
        <w:t>14</w:t>
      </w:r>
    </w:p>
    <w:p>
      <w:pPr>
        <w:spacing w:after="0" w:line="167" w:lineRule="exact"/>
        <w:rPr>
          <w:sz w:val="20"/>
          <w:szCs w:val="20"/>
          <w:color w:val="auto"/>
        </w:rPr>
      </w:pPr>
    </w:p>
    <w:p>
      <w:pPr>
        <w:ind w:left="240"/>
        <w:spacing w:after="0"/>
        <w:tabs>
          <w:tab w:leader="none" w:pos="2380" w:val="left"/>
        </w:tabs>
        <w:rPr>
          <w:sz w:val="20"/>
          <w:szCs w:val="20"/>
          <w:color w:val="auto"/>
        </w:rPr>
      </w:pPr>
      <w:r>
        <w:rPr>
          <w:rFonts w:ascii="Arial" w:cs="Arial" w:eastAsia="Arial" w:hAnsi="Arial"/>
          <w:sz w:val="16"/>
          <w:szCs w:val="16"/>
          <w:color w:val="auto"/>
        </w:rPr>
        <w:t>(2,403)</w:t>
      </w:r>
      <w:r>
        <w:rPr>
          <w:sz w:val="20"/>
          <w:szCs w:val="20"/>
          <w:color w:val="auto"/>
        </w:rPr>
        <w:tab/>
      </w:r>
      <w:r>
        <w:rPr>
          <w:rFonts w:ascii="Arial" w:cs="Arial" w:eastAsia="Arial" w:hAnsi="Arial"/>
          <w:sz w:val="16"/>
          <w:szCs w:val="16"/>
          <w:color w:val="auto"/>
        </w:rPr>
        <w:t>—</w:t>
      </w:r>
    </w:p>
    <w:p>
      <w:pPr>
        <w:spacing w:after="0" w:line="194" w:lineRule="exact"/>
        <w:rPr>
          <w:sz w:val="20"/>
          <w:szCs w:val="20"/>
          <w:color w:val="auto"/>
        </w:rPr>
      </w:pPr>
    </w:p>
    <w:p>
      <w:pPr>
        <w:spacing w:after="0"/>
        <w:tabs>
          <w:tab w:leader="none" w:pos="2020" w:val="left"/>
        </w:tabs>
        <w:rPr>
          <w:sz w:val="20"/>
          <w:szCs w:val="20"/>
          <w:color w:val="auto"/>
        </w:rPr>
      </w:pPr>
      <w:r>
        <w:rPr>
          <w:rFonts w:ascii="Arial" w:cs="Arial" w:eastAsia="Arial" w:hAnsi="Arial"/>
          <w:sz w:val="16"/>
          <w:szCs w:val="16"/>
          <w:color w:val="auto"/>
        </w:rPr>
        <w:t>1,008,362</w:t>
      </w:r>
      <w:r>
        <w:rPr>
          <w:sz w:val="20"/>
          <w:szCs w:val="20"/>
          <w:color w:val="auto"/>
        </w:rPr>
        <w:tab/>
      </w:r>
      <w:r>
        <w:rPr>
          <w:rFonts w:ascii="Arial" w:cs="Arial" w:eastAsia="Arial" w:hAnsi="Arial"/>
          <w:sz w:val="16"/>
          <w:szCs w:val="16"/>
          <w:color w:val="auto"/>
        </w:rPr>
        <w:t>619,621</w:t>
      </w:r>
    </w:p>
    <w:p>
      <w:pPr>
        <w:spacing w:after="0" w:line="86" w:lineRule="exact"/>
        <w:rPr>
          <w:sz w:val="20"/>
          <w:szCs w:val="20"/>
          <w:color w:val="auto"/>
        </w:rPr>
      </w:pPr>
    </w:p>
    <w:p>
      <w:pPr>
        <w:jc w:val="both"/>
        <w:ind w:left="500"/>
        <w:spacing w:after="0"/>
        <w:tabs>
          <w:tab w:leader="none" w:pos="21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(1,619)</w:t>
      </w:r>
    </w:p>
    <w:p>
      <w:pPr>
        <w:spacing w:after="0" w:line="86"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14"/>
          <w:szCs w:val="14"/>
          <w:color w:val="auto"/>
        </w:rPr>
        <w:t>(91,955)</w:t>
      </w:r>
      <w:r>
        <w:rPr>
          <w:sz w:val="20"/>
          <w:szCs w:val="20"/>
          <w:color w:val="auto"/>
        </w:rPr>
        <w:tab/>
      </w:r>
      <w:r>
        <w:rPr>
          <w:rFonts w:ascii="Arial" w:cs="Arial" w:eastAsia="Arial" w:hAnsi="Arial"/>
          <w:sz w:val="14"/>
          <w:szCs w:val="14"/>
          <w:color w:val="auto"/>
        </w:rPr>
        <w:t>(16,035)</w:t>
      </w:r>
    </w:p>
    <w:p>
      <w:pPr>
        <w:spacing w:after="0" w:line="109" w:lineRule="exact"/>
        <w:rPr>
          <w:sz w:val="20"/>
          <w:szCs w:val="20"/>
          <w:color w:val="auto"/>
        </w:rPr>
      </w:pPr>
    </w:p>
    <w:p>
      <w:pPr>
        <w:ind w:left="240"/>
        <w:spacing w:after="0"/>
        <w:tabs>
          <w:tab w:leader="none" w:pos="2300" w:val="left"/>
        </w:tabs>
        <w:rPr>
          <w:sz w:val="20"/>
          <w:szCs w:val="20"/>
          <w:color w:val="auto"/>
        </w:rPr>
      </w:pPr>
      <w:r>
        <w:rPr>
          <w:rFonts w:ascii="Arial" w:cs="Arial" w:eastAsia="Arial" w:hAnsi="Arial"/>
          <w:sz w:val="16"/>
          <w:szCs w:val="16"/>
          <w:color w:val="auto"/>
        </w:rPr>
        <w:t>(7,195)</w:t>
      </w:r>
      <w:r>
        <w:rPr>
          <w:sz w:val="20"/>
          <w:szCs w:val="20"/>
          <w:color w:val="auto"/>
        </w:rPr>
        <w:tab/>
      </w:r>
      <w:r>
        <w:rPr>
          <w:rFonts w:ascii="Arial" w:cs="Arial" w:eastAsia="Arial" w:hAnsi="Arial"/>
          <w:sz w:val="16"/>
          <w:szCs w:val="16"/>
          <w:color w:val="auto"/>
        </w:rPr>
        <w:t>844</w:t>
      </w:r>
    </w:p>
    <w:p>
      <w:pPr>
        <w:spacing w:after="0" w:line="86"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6"/>
          <w:szCs w:val="16"/>
          <w:color w:val="auto"/>
        </w:rPr>
        <w:t>906,827</w:t>
      </w:r>
      <w:r>
        <w:rPr>
          <w:sz w:val="20"/>
          <w:szCs w:val="20"/>
          <w:color w:val="auto"/>
        </w:rPr>
        <w:tab/>
      </w:r>
      <w:r>
        <w:rPr>
          <w:rFonts w:ascii="Arial" w:cs="Arial" w:eastAsia="Arial" w:hAnsi="Arial"/>
          <w:sz w:val="16"/>
          <w:szCs w:val="16"/>
          <w:color w:val="auto"/>
        </w:rPr>
        <w:t>602,825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34925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6" w:lineRule="exact"/>
        <w:rPr>
          <w:sz w:val="20"/>
          <w:szCs w:val="20"/>
          <w:color w:val="auto"/>
        </w:rPr>
      </w:pPr>
    </w:p>
    <w:p>
      <w:pPr>
        <w:spacing w:after="0"/>
        <w:tabs>
          <w:tab w:leader="none" w:pos="880" w:val="left"/>
          <w:tab w:leader="none" w:pos="1900" w:val="left"/>
        </w:tabs>
        <w:rPr>
          <w:sz w:val="20"/>
          <w:szCs w:val="20"/>
          <w:color w:val="auto"/>
        </w:rPr>
      </w:pPr>
      <w:r>
        <w:rPr>
          <w:rFonts w:ascii="Arial" w:cs="Arial" w:eastAsia="Arial" w:hAnsi="Arial"/>
          <w:sz w:val="16"/>
          <w:szCs w:val="16"/>
          <w:color w:val="auto"/>
        </w:rPr>
        <w:t>2,589,547</w:t>
        <w:tab/>
        <w:t>$</w:t>
      </w:r>
      <w:r>
        <w:rPr>
          <w:sz w:val="20"/>
          <w:szCs w:val="20"/>
          <w:color w:val="auto"/>
        </w:rPr>
        <w:tab/>
      </w:r>
      <w:r>
        <w:rPr>
          <w:rFonts w:ascii="Arial" w:cs="Arial" w:eastAsia="Arial" w:hAnsi="Arial"/>
          <w:sz w:val="14"/>
          <w:szCs w:val="14"/>
          <w:color w:val="auto"/>
        </w:rPr>
        <w:t>1,428,211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34925</wp:posOffset>
            </wp:positionV>
            <wp:extent cx="238379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680"/>
          </w:cols>
          <w:pgMar w:left="240" w:top="122"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 are an integral part of these statements.</w:t>
      </w:r>
    </w:p>
    <w:p>
      <w:pPr>
        <w:sectPr>
          <w:pgSz w:w="11900" w:h="16838" w:orient="portrait"/>
          <w:cols w:equalWidth="0" w:num="1">
            <w:col w:w="11420"/>
          </w:cols>
          <w:pgMar w:left="240" w:top="122" w:right="2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2,310,417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1,939,791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1,828,046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1,797,418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1,517,576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1,382,047</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512,999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445,999</w:t>
            </w:r>
          </w:p>
        </w:tc>
        <w:tc>
          <w:tcPr>
            <w:tcW w:w="0" w:type="dxa"/>
            <w:vAlign w:val="bottom"/>
          </w:tcPr>
          <w:p>
            <w:pPr>
              <w:spacing w:after="0"/>
              <w:rPr>
                <w:sz w:val="1"/>
                <w:szCs w:val="1"/>
                <w:color w:val="auto"/>
              </w:rPr>
            </w:pPr>
          </w:p>
        </w:tc>
      </w:tr>
      <w:tr>
        <w:trPr>
          <w:trHeight w:val="297"/>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459,628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345,884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338,456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45,602</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53,690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38,062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34,662</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513,318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383,946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418,720</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OPERATING (LOSS) INCOME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38,269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27,279</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(44,307)</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Equity in earnings of joint ventures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7"/>
        </w:trPr>
        <w:tc>
          <w:tcPr>
            <w:tcW w:w="7440" w:type="dxa"/>
            <w:vAlign w:val="bottom"/>
          </w:tcPr>
          <w:p>
            <w:pPr>
              <w:ind w:left="280"/>
              <w:spacing w:after="0"/>
              <w:rPr>
                <w:sz w:val="20"/>
                <w:szCs w:val="20"/>
                <w:color w:val="auto"/>
              </w:rPr>
            </w:pPr>
            <w:r>
              <w:rPr>
                <w:rFonts w:ascii="Arial" w:cs="Arial" w:eastAsia="Arial" w:hAnsi="Arial"/>
                <w:sz w:val="16"/>
                <w:szCs w:val="16"/>
                <w:color w:val="auto"/>
              </w:rPr>
              <w:t>Total other expense</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(47,037)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(41,986)</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(14,707)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(18,585)</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440" w:type="dxa"/>
            <w:vAlign w:val="bottom"/>
          </w:tcPr>
          <w:p>
            <w:pPr>
              <w:ind w:left="40"/>
              <w:spacing w:after="0"/>
              <w:rPr>
                <w:sz w:val="20"/>
                <w:szCs w:val="20"/>
                <w:color w:val="auto"/>
              </w:rPr>
            </w:pPr>
            <w:r>
              <w:rPr>
                <w:rFonts w:ascii="Arial" w:cs="Arial" w:eastAsia="Arial" w:hAnsi="Arial"/>
                <w:sz w:val="16"/>
                <w:szCs w:val="16"/>
                <w:color w:val="auto"/>
              </w:rPr>
              <w:t>Change in unrealized (losses) gains on cash flow hedges, net of income taxes of $259, $234 and $36,</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440" w:type="dxa"/>
            <w:vAlign w:val="bottom"/>
          </w:tcPr>
          <w:p>
            <w:pPr>
              <w:ind w:left="4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COMPREHENSIVE (LOSS)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3,936</w:t>
            </w:r>
          </w:p>
        </w:tc>
        <w:tc>
          <w:tcPr>
            <w:tcW w:w="0" w:type="dxa"/>
            <w:vAlign w:val="bottom"/>
          </w:tcPr>
          <w:p>
            <w:pPr>
              <w:spacing w:after="0"/>
              <w:rPr>
                <w:sz w:val="1"/>
                <w:szCs w:val="1"/>
                <w:color w:val="auto"/>
              </w:rPr>
            </w:pP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(LOSS) EARNINGS PER COMMON SHARE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earnings per share, basic and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142,614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800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Adjustments to reconcile net (loss) income to net cash provided by operations: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38,062</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Non-cash operating lease costs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19,719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Loss on sale of assets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3,269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Business casualty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2,996</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Paid-in-kind interest capitalized as principal</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12,256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Stock-based incentive compensation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4,170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on management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Capital distribution from equity method investments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contingent consideration liability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(34,003)</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(3,481)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12,452</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(30,856)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10,965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47,411</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 and employee benefits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(12,246)</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6"/>
                <w:szCs w:val="16"/>
                <w:color w:val="auto"/>
              </w:rPr>
              <w:t>Other noncurrent assets and liabilities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5,239</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37,871</w:t>
            </w:r>
          </w:p>
        </w:tc>
        <w:tc>
          <w:tcPr>
            <w:tcW w:w="0" w:type="dxa"/>
            <w:vAlign w:val="bottom"/>
          </w:tcPr>
          <w:p>
            <w:pPr>
              <w:spacing w:after="0"/>
              <w:rPr>
                <w:sz w:val="1"/>
                <w:szCs w:val="1"/>
                <w:color w:val="auto"/>
              </w:rPr>
            </w:pPr>
          </w:p>
        </w:tc>
      </w:tr>
      <w:tr>
        <w:trPr>
          <w:trHeight w:val="115"/>
        </w:trPr>
        <w:tc>
          <w:tcPr>
            <w:tcW w:w="80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Acquisition of property and equipment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(26,276)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(24,956)</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Insurance proceeds from business casualty loss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acquisitions, net of cash acquired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(700,170)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0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(727,826)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(37,003)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(24,472)</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Redemptions to related parties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Sale of management notes receivable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Payment of contingent consideration liability</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debt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981,050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Repayments of debt principal</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(4,150)</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Retirement of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(226,738)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Deferred financing costs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719,024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(5,150)</w:t>
            </w:r>
          </w:p>
        </w:tc>
        <w:tc>
          <w:tcPr>
            <w:tcW w:w="0" w:type="dxa"/>
            <w:vAlign w:val="bottom"/>
          </w:tcPr>
          <w:p>
            <w:pPr>
              <w:spacing w:after="0"/>
              <w:rPr>
                <w:sz w:val="1"/>
                <w:szCs w:val="1"/>
                <w:color w:val="auto"/>
              </w:rPr>
            </w:pPr>
          </w:p>
        </w:tc>
      </w:tr>
      <w:tr>
        <w:trPr>
          <w:trHeight w:val="217"/>
        </w:trPr>
        <w:tc>
          <w:tcPr>
            <w:tcW w:w="80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30,665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(16,725)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8,249</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beginning of the period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44,867</w:t>
            </w:r>
          </w:p>
        </w:tc>
        <w:tc>
          <w:tcPr>
            <w:tcW w:w="0" w:type="dxa"/>
            <w:vAlign w:val="bottom"/>
          </w:tcPr>
          <w:p>
            <w:pPr>
              <w:spacing w:after="0"/>
              <w:rPr>
                <w:sz w:val="1"/>
                <w:szCs w:val="1"/>
                <w:color w:val="auto"/>
              </w:rPr>
            </w:pPr>
          </w:p>
        </w:tc>
      </w:tr>
      <w:tr>
        <w:trPr>
          <w:trHeight w:val="284"/>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67,056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36,391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53,116</w:t>
            </w:r>
          </w:p>
        </w:tc>
        <w:tc>
          <w:tcPr>
            <w:tcW w:w="0" w:type="dxa"/>
            <w:vAlign w:val="bottom"/>
          </w:tcPr>
          <w:p>
            <w:pPr>
              <w:spacing w:after="0"/>
              <w:rPr>
                <w:sz w:val="1"/>
                <w:szCs w:val="1"/>
                <w:color w:val="auto"/>
              </w:rPr>
            </w:pPr>
          </w:p>
        </w:tc>
      </w:tr>
      <w:tr>
        <w:trPr>
          <w:trHeight w:val="109"/>
        </w:trPr>
        <w:tc>
          <w:tcPr>
            <w:tcW w:w="80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interest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43,485</w:t>
            </w:r>
          </w:p>
        </w:tc>
        <w:tc>
          <w:tcPr>
            <w:tcW w:w="0" w:type="dxa"/>
            <w:vAlign w:val="bottom"/>
          </w:tcPr>
          <w:p>
            <w:pPr>
              <w:spacing w:after="0"/>
              <w:rPr>
                <w:sz w:val="1"/>
                <w:szCs w:val="1"/>
                <w:color w:val="auto"/>
              </w:rPr>
            </w:pPr>
          </w:p>
        </w:tc>
      </w:tr>
      <w:tr>
        <w:trPr>
          <w:trHeight w:val="237"/>
        </w:trPr>
        <w:tc>
          <w:tcPr>
            <w:tcW w:w="8000" w:type="dxa"/>
            <w:vAlign w:val="bottom"/>
          </w:tcPr>
          <w:p>
            <w:pPr>
              <w:ind w:left="160"/>
              <w:spacing w:after="0"/>
              <w:rPr>
                <w:sz w:val="20"/>
                <w:szCs w:val="20"/>
                <w:color w:val="auto"/>
              </w:rPr>
            </w:pPr>
            <w:r>
              <w:rPr>
                <w:rFonts w:ascii="Arial" w:cs="Arial" w:eastAsia="Arial" w:hAnsi="Arial"/>
                <w:sz w:val="16"/>
                <w:szCs w:val="16"/>
                <w:color w:val="auto"/>
              </w:rPr>
              <w:t>Cash paid for income taxes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2,405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operating leases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ectPr>
          <w:pgSz w:w="11900" w:h="16838" w:orient="portrait"/>
          <w:cols w:equalWidth="0" w:num="1">
            <w:col w:w="11420"/>
          </w:cols>
          <w:pgMar w:left="240" w:top="337" w:right="239" w:bottom="136"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337" w:right="239" w:bottom="136"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 Other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Treasury</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Management</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(Loss)</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Stock</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Capital</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Notes Receivable</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1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Balance - December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615,713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600,770</w:t>
            </w:r>
          </w:p>
        </w:tc>
        <w:tc>
          <w:tcPr>
            <w:tcW w:w="0" w:type="dxa"/>
            <w:vAlign w:val="bottom"/>
          </w:tcPr>
          <w:p>
            <w:pPr>
              <w:spacing w:after="0"/>
              <w:rPr>
                <w:sz w:val="1"/>
                <w:szCs w:val="1"/>
                <w:color w:val="auto"/>
              </w:rPr>
            </w:pPr>
          </w:p>
        </w:tc>
      </w:tr>
      <w:tr>
        <w:trPr>
          <w:trHeight w:val="220"/>
        </w:trPr>
        <w:tc>
          <w:tcPr>
            <w:tcW w:w="1380" w:type="dxa"/>
            <w:vAlign w:val="bottom"/>
          </w:tcPr>
          <w:p>
            <w:pPr>
              <w:ind w:left="180"/>
              <w:spacing w:after="0"/>
              <w:rPr>
                <w:sz w:val="20"/>
                <w:szCs w:val="20"/>
                <w:color w:val="auto"/>
              </w:rPr>
            </w:pPr>
            <w:r>
              <w:rPr>
                <w:rFonts w:ascii="Arial" w:cs="Arial" w:eastAsia="Arial" w:hAnsi="Arial"/>
                <w:sz w:val="16"/>
                <w:szCs w:val="16"/>
                <w:color w:val="auto"/>
              </w:rPr>
              <w:t>Interest 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rPr>
              <w:t>management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notes receivable</w:t>
            </w:r>
          </w:p>
        </w:tc>
        <w:tc>
          <w:tcPr>
            <w:tcW w:w="16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redemptions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380" w:type="dxa"/>
            <w:vAlign w:val="bottom"/>
          </w:tcPr>
          <w:p>
            <w:pPr>
              <w:ind w:left="180"/>
              <w:spacing w:after="0"/>
              <w:rPr>
                <w:sz w:val="20"/>
                <w:szCs w:val="20"/>
                <w:color w:val="auto"/>
              </w:rPr>
            </w:pPr>
            <w:r>
              <w:rPr>
                <w:rFonts w:ascii="Arial" w:cs="Arial" w:eastAsia="Arial" w:hAnsi="Arial"/>
                <w:sz w:val="16"/>
                <w:szCs w:val="16"/>
                <w:color w:val="auto"/>
              </w:rPr>
              <w:t>Stock-based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rPr>
              <w:t>incentive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compensation</w:t>
            </w:r>
          </w:p>
        </w:tc>
        <w:tc>
          <w:tcPr>
            <w:tcW w:w="16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220"/>
        </w:trPr>
        <w:tc>
          <w:tcPr>
            <w:tcW w:w="1380" w:type="dxa"/>
            <w:vAlign w:val="bottom"/>
          </w:tcPr>
          <w:p>
            <w:pPr>
              <w:ind w:left="180"/>
              <w:spacing w:after="0"/>
              <w:rPr>
                <w:sz w:val="20"/>
                <w:szCs w:val="20"/>
                <w:color w:val="auto"/>
              </w:rPr>
            </w:pPr>
            <w:r>
              <w:rPr>
                <w:rFonts w:ascii="Arial" w:cs="Arial" w:eastAsia="Arial" w:hAnsi="Arial"/>
                <w:sz w:val="16"/>
                <w:szCs w:val="16"/>
                <w:color w:val="auto"/>
              </w:rPr>
              <w:t>Reclassification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rPr>
              <w:t>of certain tax</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effects</w:t>
            </w:r>
          </w:p>
        </w:tc>
        <w:tc>
          <w:tcPr>
            <w:tcW w:w="16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0"/>
        </w:trPr>
        <w:tc>
          <w:tcPr>
            <w:tcW w:w="1380" w:type="dxa"/>
            <w:vAlign w:val="bottom"/>
          </w:tcPr>
          <w:p>
            <w:pPr>
              <w:ind w:left="40"/>
              <w:spacing w:after="0"/>
              <w:rPr>
                <w:sz w:val="20"/>
                <w:szCs w:val="20"/>
                <w:color w:val="auto"/>
              </w:rPr>
            </w:pPr>
            <w:r>
              <w:rPr>
                <w:rFonts w:ascii="Arial" w:cs="Arial" w:eastAsia="Arial" w:hAnsi="Arial"/>
                <w:sz w:val="16"/>
                <w:szCs w:val="16"/>
                <w:color w:val="auto"/>
                <w:w w:val="90"/>
              </w:rPr>
              <w:t>Balance - December</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6"/>
                <w:szCs w:val="16"/>
                <w:color w:val="auto"/>
              </w:rPr>
              <w:t>31, 2017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617,057</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(9,920)</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606,105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Stockholders'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380" w:type="dxa"/>
            <w:vAlign w:val="bottom"/>
          </w:tcPr>
          <w:p>
            <w:pPr>
              <w:ind w:left="180"/>
              <w:spacing w:after="0"/>
              <w:rPr>
                <w:sz w:val="20"/>
                <w:szCs w:val="20"/>
                <w:color w:val="auto"/>
              </w:rPr>
            </w:pPr>
            <w:r>
              <w:rPr>
                <w:rFonts w:ascii="Arial" w:cs="Arial" w:eastAsia="Arial" w:hAnsi="Arial"/>
                <w:sz w:val="16"/>
                <w:szCs w:val="16"/>
                <w:color w:val="auto"/>
              </w:rPr>
              <w:t>Interest 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rPr>
              <w:t>management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notes receivable</w:t>
            </w:r>
          </w:p>
        </w:tc>
        <w:tc>
          <w:tcPr>
            <w:tcW w:w="16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incentive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6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(6,115)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00"/>
        </w:trPr>
        <w:tc>
          <w:tcPr>
            <w:tcW w:w="1380" w:type="dxa"/>
            <w:vAlign w:val="bottom"/>
          </w:tcPr>
          <w:p>
            <w:pPr>
              <w:ind w:left="40"/>
              <w:spacing w:after="0"/>
              <w:rPr>
                <w:sz w:val="20"/>
                <w:szCs w:val="20"/>
                <w:color w:val="auto"/>
              </w:rPr>
            </w:pPr>
            <w:r>
              <w:rPr>
                <w:rFonts w:ascii="Arial" w:cs="Arial" w:eastAsia="Arial" w:hAnsi="Arial"/>
                <w:sz w:val="16"/>
                <w:szCs w:val="16"/>
                <w:color w:val="auto"/>
                <w:w w:val="90"/>
              </w:rPr>
              <w:t>Balance - December</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40"/>
              <w:spacing w:after="0"/>
              <w:rPr>
                <w:sz w:val="20"/>
                <w:szCs w:val="20"/>
                <w:color w:val="auto"/>
              </w:rPr>
            </w:pPr>
            <w:r>
              <w:rPr>
                <w:rFonts w:ascii="Arial" w:cs="Arial" w:eastAsia="Arial" w:hAnsi="Arial"/>
                <w:sz w:val="16"/>
                <w:szCs w:val="16"/>
                <w:color w:val="auto"/>
              </w:rPr>
              <w:t>31, 2018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619,621</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(16,035)</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602,825</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BioScrip, Inc.</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387,040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387,044</w:t>
            </w:r>
          </w:p>
        </w:tc>
        <w:tc>
          <w:tcPr>
            <w:tcW w:w="0" w:type="dxa"/>
            <w:vAlign w:val="bottom"/>
          </w:tcPr>
          <w:p>
            <w:pPr>
              <w:spacing w:after="0"/>
              <w:rPr>
                <w:sz w:val="1"/>
                <w:szCs w:val="1"/>
                <w:color w:val="auto"/>
              </w:rPr>
            </w:pPr>
          </w:p>
        </w:tc>
      </w:tr>
      <w:tr>
        <w:trPr>
          <w:trHeight w:val="220"/>
        </w:trPr>
        <w:tc>
          <w:tcPr>
            <w:tcW w:w="1380" w:type="dxa"/>
            <w:vAlign w:val="bottom"/>
          </w:tcPr>
          <w:p>
            <w:pPr>
              <w:ind w:left="180"/>
              <w:spacing w:after="0"/>
              <w:rPr>
                <w:sz w:val="20"/>
                <w:szCs w:val="20"/>
                <w:color w:val="auto"/>
              </w:rPr>
            </w:pPr>
            <w:r>
              <w:rPr>
                <w:rFonts w:ascii="Arial" w:cs="Arial" w:eastAsia="Arial" w:hAnsi="Arial"/>
                <w:sz w:val="16"/>
                <w:szCs w:val="16"/>
                <w:color w:val="auto"/>
              </w:rPr>
              <w:t>Interest 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rPr>
              <w:t>management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notes receivable</w:t>
            </w:r>
          </w:p>
        </w:tc>
        <w:tc>
          <w:tcPr>
            <w:tcW w:w="16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management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20"/>
        </w:trPr>
        <w:tc>
          <w:tcPr>
            <w:tcW w:w="1380" w:type="dxa"/>
            <w:vAlign w:val="bottom"/>
          </w:tcPr>
          <w:p>
            <w:pPr>
              <w:ind w:left="180"/>
              <w:spacing w:after="0"/>
              <w:rPr>
                <w:sz w:val="20"/>
                <w:szCs w:val="20"/>
                <w:color w:val="auto"/>
              </w:rPr>
            </w:pPr>
            <w:r>
              <w:rPr>
                <w:rFonts w:ascii="Arial" w:cs="Arial" w:eastAsia="Arial" w:hAnsi="Arial"/>
                <w:sz w:val="16"/>
                <w:szCs w:val="16"/>
                <w:color w:val="auto"/>
              </w:rPr>
              <w:t>Stockholders'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redemptions</w:t>
            </w:r>
          </w:p>
        </w:tc>
        <w:tc>
          <w:tcPr>
            <w:tcW w:w="16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incentive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compensation</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220"/>
        </w:trPr>
        <w:tc>
          <w:tcPr>
            <w:tcW w:w="1380" w:type="dxa"/>
            <w:vAlign w:val="bottom"/>
          </w:tcPr>
          <w:p>
            <w:pPr>
              <w:ind w:left="180"/>
              <w:spacing w:after="0"/>
              <w:rPr>
                <w:sz w:val="20"/>
                <w:szCs w:val="20"/>
                <w:color w:val="auto"/>
              </w:rPr>
            </w:pPr>
            <w:r>
              <w:rPr>
                <w:rFonts w:ascii="Arial" w:cs="Arial" w:eastAsia="Arial" w:hAnsi="Arial"/>
                <w:sz w:val="16"/>
                <w:szCs w:val="16"/>
                <w:color w:val="auto"/>
                <w:w w:val="97"/>
              </w:rPr>
              <w:t>Exercise of stock</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rPr>
              <w:t>options, vesting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rPr>
              <w:t>of restricted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w w:val="93"/>
              </w:rPr>
              <w:t>stock, and related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tax withholdings</w:t>
            </w:r>
          </w:p>
        </w:tc>
        <w:tc>
          <w:tcPr>
            <w:tcW w:w="16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33"/>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0" w:type="dxa"/>
            <w:vAlign w:val="bottom"/>
          </w:tcPr>
          <w:p>
            <w:pPr>
              <w:spacing w:after="0"/>
              <w:rPr>
                <w:sz w:val="1"/>
                <w:szCs w:val="1"/>
                <w:color w:val="auto"/>
              </w:rPr>
            </w:pPr>
          </w:p>
        </w:tc>
      </w:tr>
      <w:tr>
        <w:trPr>
          <w:trHeight w:val="220"/>
        </w:trPr>
        <w:tc>
          <w:tcPr>
            <w:tcW w:w="138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180"/>
              <w:spacing w:after="0"/>
              <w:rPr>
                <w:sz w:val="20"/>
                <w:szCs w:val="20"/>
                <w:color w:val="auto"/>
              </w:rPr>
            </w:pPr>
            <w:r>
              <w:rPr>
                <w:rFonts w:ascii="Arial" w:cs="Arial" w:eastAsia="Arial" w:hAnsi="Arial"/>
                <w:sz w:val="16"/>
                <w:szCs w:val="16"/>
                <w:color w:val="auto"/>
              </w:rPr>
              <w:t>comprehensive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80" w:type="dxa"/>
            <w:vAlign w:val="bottom"/>
          </w:tcPr>
          <w:p>
            <w:pPr>
              <w:ind w:left="18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(8,039)</w:t>
            </w:r>
          </w:p>
        </w:tc>
        <w:tc>
          <w:tcPr>
            <w:tcW w:w="0" w:type="dxa"/>
            <w:vAlign w:val="bottom"/>
          </w:tcPr>
          <w:p>
            <w:pPr>
              <w:spacing w:after="0"/>
              <w:rPr>
                <w:sz w:val="1"/>
                <w:szCs w:val="1"/>
                <w:color w:val="auto"/>
              </w:rPr>
            </w:pPr>
          </w:p>
        </w:tc>
      </w:tr>
      <w:tr>
        <w:trPr>
          <w:trHeight w:val="33"/>
        </w:trPr>
        <w:tc>
          <w:tcPr>
            <w:tcW w:w="1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Balance - December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1,008,362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(91,955)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19"/>
        </w:trPr>
        <w:tc>
          <w:tcPr>
            <w:tcW w:w="1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31, 2019</w:t>
            </w:r>
          </w:p>
        </w:tc>
        <w:tc>
          <w:tcPr>
            <w:tcW w:w="16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ectPr>
          <w:pgSz w:w="11900" w:h="16838" w:orient="portrait"/>
          <w:cols w:equalWidth="0" w:num="1">
            <w:col w:w="11420"/>
          </w:cols>
          <w:pgMar w:left="240" w:top="122" w:right="239" w:bottom="177"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77"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8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Corporate Organization and Business </w:t>
      </w:r>
      <w:r>
        <w:rPr>
          <w:rFonts w:ascii="Arial" w:cs="Arial" w:eastAsia="Arial" w:hAnsi="Arial"/>
          <w:sz w:val="18"/>
          <w:szCs w:val="18"/>
          <w:color w:val="auto"/>
        </w:rPr>
        <w:t>— HC Group Holdings II, Inc. (“HC II”) was incorporated under the laws of the State of Delaware on January 7,</w:t>
      </w:r>
      <w:r>
        <w:rPr>
          <w:rFonts w:ascii="Arial" w:cs="Arial" w:eastAsia="Arial" w:hAnsi="Arial"/>
          <w:sz w:val="18"/>
          <w:szCs w:val="18"/>
          <w:b w:val="1"/>
          <w:bCs w:val="1"/>
          <w:color w:val="auto"/>
        </w:rPr>
        <w:t xml:space="preserve"> </w:t>
      </w:r>
      <w:r>
        <w:rPr>
          <w:rFonts w:ascii="Arial" w:cs="Arial" w:eastAsia="Arial" w:hAnsi="Arial"/>
          <w:sz w:val="18"/>
          <w:szCs w:val="18"/>
          <w:color w:val="auto"/>
        </w:rPr>
        <w:t>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8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w:t>
      </w:r>
    </w:p>
    <w:p>
      <w:pPr>
        <w:spacing w:after="0" w:line="18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 xml:space="preserve">Under the terms of the Merger Agreement, shares of HC II common stock issued and outstanding immediately prior to the Merger Date were converted into 542,261,567 shares (135,565,392 equivalent shares after adjusting for the one share for four share reverse stock split - see Note 20,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of BioScrip common stock, par value $0.0001 (the “BioScrip common stock”). BioScrip also issued an additional 28,193,428 shares (7,048,357 equivalent shares after adjusting for the reverse stock split) to HC I in respect of certain outstanding unvested contingent restricted stock units of BioScrip, which are held in escrow to prevent dilution related to potential additional vesting on certain share-based instruments. See Note 17,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discussion of these shares held in escrow. In conjunction with the Merger, holders of BioScrip preferred shares and certain warrants received 3,458,412 additional shares (864,603 equivalent shares after adjusting for the reverse stock split) of BioScrip common stock and preferred shares were repurchased for $125.8 million of cash. In addition, all legacy BioScrip debt was settled for $575.0 million. As a result of the Merger, BioScrip’s stockholders hold approximately 19.2% of the combined company, and HC I holds approximately 80.8% of the combined company. Following the close of the transaction, BioScrip was rebranded as Option Care Health, Inc. (“Option Care Health”, or the “Company”). The combined company’s stock was listed on the Nasdaq Capital Market as of December 31, 2019.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for further discussion on the Merger.</w:t>
      </w:r>
    </w:p>
    <w:p>
      <w:pPr>
        <w:spacing w:after="0" w:line="173"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115 full service pharmacies.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83" w:lineRule="exact"/>
        <w:rPr>
          <w:sz w:val="20"/>
          <w:szCs w:val="20"/>
          <w:color w:val="auto"/>
        </w:rPr>
      </w:pPr>
    </w:p>
    <w:p>
      <w:pPr>
        <w:ind w:right="160" w:firstLine="324"/>
        <w:spacing w:after="0" w:line="289"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consolidated financial statements have been prepared in conformity with generally accepted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principles (“GAAP”) in the United States. These principals require management to make certain estimates and assumptions in determining assets, liabilities, revenue, expenses, and related disclosures. Actual amounts could differ materially from those estimates.</w:t>
      </w:r>
    </w:p>
    <w:p>
      <w:pPr>
        <w:spacing w:after="0" w:line="158"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consolidated financial statements include the accounts of Option Care Health, Inc.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The BioScrip results have been included in the consolidated financial results since the Merger Date. All intercompany transactions and balances are eliminated in consolidation.</w:t>
      </w:r>
    </w:p>
    <w:p>
      <w:pPr>
        <w:spacing w:after="0" w:line="18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(loss). See Note 11, </w:t>
      </w:r>
      <w:r>
        <w:rPr>
          <w:rFonts w:ascii="Arial" w:cs="Arial" w:eastAsia="Arial" w:hAnsi="Arial"/>
          <w:sz w:val="17"/>
          <w:szCs w:val="17"/>
          <w:i w:val="1"/>
          <w:iCs w:val="1"/>
          <w:color w:val="auto"/>
        </w:rPr>
        <w:t>Equity-Method Investments</w:t>
      </w:r>
      <w:r>
        <w:rPr>
          <w:rFonts w:ascii="Arial" w:cs="Arial" w:eastAsia="Arial" w:hAnsi="Arial"/>
          <w:sz w:val="17"/>
          <w:szCs w:val="17"/>
          <w:color w:val="auto"/>
        </w:rPr>
        <w:t>, for further discussion of the Company’s equity-method investments.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5" w:lineRule="exact"/>
        <w:rPr>
          <w:sz w:val="20"/>
          <w:szCs w:val="20"/>
          <w:color w:val="auto"/>
        </w:rPr>
      </w:pPr>
    </w:p>
    <w:p>
      <w:pPr>
        <w:ind w:right="660"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21"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The Company’s accounts receivable are reported at the net realizable value amount that reflects the consideration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expects to receive in exchange for providing services, which is inclusive of adjustments for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price concessions. The majority of accounts receivable are due from private insurance carriers and governmental health care programs, such as Medicare and Medicaid.</w:t>
      </w:r>
    </w:p>
    <w:p>
      <w:pPr>
        <w:spacing w:after="0" w:line="13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 xml:space="preserve">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 Subsequent to the adoption of Financial Accounting Standards Board (“FASB”) Accounting Standards Codification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(“ASC 606”), an allowance for doubtful accounts is established only as a result of an adverse change in the Company’s payers’ ability to pay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billings. The allowance for doubtful accounts balance is $0 as of December 31, 2019 and 2018, respectively.</w:t>
      </w:r>
    </w:p>
    <w:p>
      <w:pPr>
        <w:spacing w:after="0" w:line="9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Prior to the adoption of ASC 606, estimates of uncollectible accounts receivable were recorded as either a pricing adjustment to revenue (“contractual adjustment”) or as an uncollectible account to provision for doubtful accounts. The Company recorded an allowance for doubtful accounts based on historical experience and a detailed assessment of the collectability of its accounts receivable. In estimating the allowance for doubtful accounts, the Company considered, among other factors, (i) the balance and aging composition of the accounts receivable, (ii) the Company’s historical write-offs and recoveries, (iii) the creditworthiness of its payers, and (iv) general economic conditions. Accounts receivable were written-off as bad debts after all reasonable collection efforts have been exhausted.</w:t>
      </w:r>
    </w:p>
    <w:p>
      <w:pPr>
        <w:spacing w:after="0" w:line="112"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Included in accounts receivable are earned but unbilled gross receivables of $68.7 million and $43.0 million as of December 31, 2019 and 2018, respectively. Delays ranging from one day up to several weeks between the date of service and billing can occur due to delays in obtaining certain required payer-specific documentation from internal and external sources.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further discussion of the Company’s revenue recognition policy.</w:t>
      </w:r>
    </w:p>
    <w:p>
      <w:pPr>
        <w:spacing w:after="0" w:line="140" w:lineRule="exact"/>
        <w:rPr>
          <w:sz w:val="20"/>
          <w:szCs w:val="20"/>
          <w:color w:val="auto"/>
        </w:rPr>
      </w:pPr>
    </w:p>
    <w:p>
      <w:pPr>
        <w:ind w:right="200" w:firstLine="324"/>
        <w:spacing w:after="0" w:line="226" w:lineRule="exact"/>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Inventory, which consists primarily of pharmaceuticals, is stated at the lower of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cost or net realizable value basis,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believes is reflective of the physical flow of inventories.</w:t>
      </w:r>
    </w:p>
    <w:p>
      <w:pPr>
        <w:spacing w:after="0" w:line="16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During the year ended December 31, 2018, one Company location was destroyed by a hurricane, resulting in a loss of $2.9 million of inventory. This business casualty loss was recorded as a component of operating costs and expenses within the consolidated statements of comprehensive income (loss). The Company received insurance proceeds of $0.8 million during the year ended December 31, 2018, and recorded a receivable of $1.0 million as a component of prepaid expenses and other current assets within the consolidated balance sheets at December 31, 2018. Both of these amounts were recorded as a partial offset to the business casualty loss in the consolidated statements of comprehensive income (loss). The $0.8 million of insurance proceeds were reflected as a component of cash flows from operating activities in the consolidated statements of cash flows. During the year ended December 31, 2019, $3.0 million in proceeds were received related to recovery of inventory and business interruption and was included as a component of cash flows from operating activities in the consolidated statements of cash flows. These proceeds resulted in a gain on business casualty loss of $2.0 million recorded as a component of selling, general and administrative expense in the consolidated statement of comprehensive income (loss).</w:t>
      </w:r>
    </w:p>
    <w:p>
      <w:pPr>
        <w:spacing w:after="0" w:line="163" w:lineRule="exact"/>
        <w:rPr>
          <w:sz w:val="20"/>
          <w:szCs w:val="20"/>
          <w:color w:val="auto"/>
        </w:rPr>
      </w:pPr>
    </w:p>
    <w:p>
      <w:pPr>
        <w:ind w:right="20" w:firstLine="324"/>
        <w:spacing w:after="0" w:line="289"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 The Company has lease agreements for facilities, warehouses, office space and property and equipment. Effective as of January 1, 2019, at the</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of a contract, the Company determines if the contract is a lease or contains an embedded lease arrangement. Operating leases are included in the operating lease right-of-use asset (“ROU asset”) and operating lease liabilities in the consolidated financial statements.</w:t>
      </w:r>
    </w:p>
    <w:p>
      <w:pPr>
        <w:spacing w:after="0" w:line="16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ROU assets, which represent the Company’s right to use the leased assets, and operating lease liabilities, which represent the present value of unpaid lease payments, are both recognized by the Company at the lease commencement date. The Company utilizes its estimated incremental borrowing rate at the lease commencement date to determine the present value of unpaid lease obligations. The rates were estimated primarily using a methodology dependent on the Company’s financial condition, creditworthiness, and availability of certain observable data. In particular, the Company considered its actual cost of borrowing for collateralized loans and its credit rating, along with the corporate bond yield curve in estimating its incremental borrowing rates. ROU assets are recorded as the amount of operating lease liability, adjusted for prepayments, accrued lease payments, initial direct costs, lease incentives, and impairment of the ROU asset. Tenant improvement allowances used to fund leasehold improvements are recognized when earned and reduce the related ROU asset. Tenant improvement allowances are recognized through the ROU asset as a reduction of expense over the term of the lease.</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Leases may contain rent escalations, however the Company recognizes the lease expense on a straight-line basis over the expected lease term. The Company reviews the terms of any lease renewal options to determine if it is reasonably certain that the renewal options will be exercised. The Company has determined that the expected lease term is typically the minimum non-cancelable period of the lease.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 xml:space="preserve">The Company has lease agreements that contain both lease and non-lease components which the Company has elected to account for as a single lease component for all asset classes. Leases with an initial term of 12 months or less are not recorded on the consolidated balance sheet and are expensed on a straight-line basis over the term of the lease. The Company’s lease agreements do not contain any material residual value guarantees or material restrictive covenants. See Note 8, </w:t>
      </w:r>
      <w:r>
        <w:rPr>
          <w:rFonts w:ascii="Arial" w:cs="Arial" w:eastAsia="Arial" w:hAnsi="Arial"/>
          <w:sz w:val="18"/>
          <w:szCs w:val="18"/>
          <w:i w:val="1"/>
          <w:iCs w:val="1"/>
          <w:color w:val="auto"/>
        </w:rPr>
        <w:t>Leases</w:t>
      </w:r>
      <w:r>
        <w:rPr>
          <w:rFonts w:ascii="Arial" w:cs="Arial" w:eastAsia="Arial" w:hAnsi="Arial"/>
          <w:sz w:val="18"/>
          <w:szCs w:val="18"/>
          <w:color w:val="auto"/>
        </w:rPr>
        <w:t>, for further discussion on leases.</w:t>
      </w:r>
    </w:p>
    <w:p>
      <w:pPr>
        <w:spacing w:after="0" w:line="183" w:lineRule="exact"/>
        <w:rPr>
          <w:sz w:val="20"/>
          <w:szCs w:val="20"/>
          <w:color w:val="auto"/>
        </w:rPr>
      </w:pPr>
    </w:p>
    <w:p>
      <w:pPr>
        <w:ind w:right="160" w:firstLine="405"/>
        <w:spacing w:after="0" w:line="258" w:lineRule="auto"/>
        <w:rPr>
          <w:sz w:val="20"/>
          <w:szCs w:val="20"/>
          <w:color w:val="auto"/>
        </w:rPr>
      </w:pPr>
      <w:r>
        <w:rPr>
          <w:rFonts w:ascii="Arial" w:cs="Arial" w:eastAsia="Arial" w:hAnsi="Arial"/>
          <w:sz w:val="18"/>
          <w:szCs w:val="18"/>
          <w:b w:val="1"/>
          <w:bCs w:val="1"/>
          <w:color w:val="auto"/>
        </w:rPr>
        <w:t xml:space="preserve">Goodwill, Intangible Assets, and Property and Equipment </w:t>
      </w:r>
      <w:r>
        <w:rPr>
          <w:rFonts w:ascii="Arial" w:cs="Arial" w:eastAsia="Arial" w:hAnsi="Arial"/>
          <w:sz w:val="18"/>
          <w:szCs w:val="18"/>
          <w:color w:val="auto"/>
        </w:rPr>
        <w:t>— Goodwill represents the excess of the purchase price over the fair value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acquired and liabilities assumed. The Company accounts for goodwill under ASC Topic 350, </w:t>
      </w:r>
      <w:r>
        <w:rPr>
          <w:rFonts w:ascii="Arial" w:cs="Arial" w:eastAsia="Arial" w:hAnsi="Arial"/>
          <w:sz w:val="18"/>
          <w:szCs w:val="18"/>
          <w:i w:val="1"/>
          <w:iCs w:val="1"/>
          <w:color w:val="auto"/>
        </w:rPr>
        <w:t>Intangibles</w:t>
      </w:r>
      <w:r>
        <w:rPr>
          <w:rFonts w:ascii="Arial" w:cs="Arial" w:eastAsia="Arial" w:hAnsi="Arial"/>
          <w:sz w:val="18"/>
          <w:szCs w:val="18"/>
          <w:color w:val="auto"/>
        </w:rPr>
        <w:t>-</w:t>
      </w:r>
      <w:r>
        <w:rPr>
          <w:rFonts w:ascii="Arial" w:cs="Arial" w:eastAsia="Arial" w:hAnsi="Arial"/>
          <w:sz w:val="18"/>
          <w:szCs w:val="18"/>
          <w:i w:val="1"/>
          <w:iCs w:val="1"/>
          <w:color w:val="auto"/>
        </w:rPr>
        <w:t>Goodwill and Other.</w:t>
      </w:r>
      <w:r>
        <w:rPr>
          <w:rFonts w:ascii="Arial" w:cs="Arial" w:eastAsia="Arial" w:hAnsi="Arial"/>
          <w:sz w:val="18"/>
          <w:szCs w:val="18"/>
          <w:color w:val="auto"/>
        </w:rPr>
        <w:t xml:space="preserve"> The Company tests goodwill for impairment annually, or more frequently whenever events or circumstances indicate impairment may exist. Goodwill is stated at cost less accumulated impairment losses. The Company completes its goodwill impairment test annually in the fourth quarter. See Note 10,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further discussion of the Company’s goodwill and other intangible assets.</w:t>
      </w:r>
    </w:p>
    <w:p>
      <w:pPr>
        <w:spacing w:after="0" w:line="188" w:lineRule="exact"/>
        <w:rPr>
          <w:sz w:val="20"/>
          <w:szCs w:val="20"/>
          <w:color w:val="auto"/>
        </w:rPr>
      </w:pPr>
    </w:p>
    <w:p>
      <w:pPr>
        <w:ind w:right="380" w:firstLine="405"/>
        <w:spacing w:after="0" w:line="221" w:lineRule="exact"/>
        <w:rPr>
          <w:sz w:val="20"/>
          <w:szCs w:val="20"/>
          <w:color w:val="auto"/>
        </w:rPr>
      </w:pPr>
      <w:r>
        <w:rPr>
          <w:rFonts w:ascii="Arial" w:cs="Arial" w:eastAsia="Arial" w:hAnsi="Arial"/>
          <w:sz w:val="17"/>
          <w:szCs w:val="17"/>
          <w:color w:val="auto"/>
        </w:rPr>
        <w:t>Intangible assets arising from the Company’s acquisitions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estimated useful life of each asset. Referral sources have a useful life of 15-20 years. Trademarks/names have a useful life ranging from two to fifteen years. The useful lives for other amortizable intangible assets range from approximately two to nine years. The Company does not have any indefinite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assets.</w:t>
      </w:r>
    </w:p>
    <w:p>
      <w:pPr>
        <w:spacing w:after="0" w:line="162" w:lineRule="exact"/>
        <w:rPr>
          <w:sz w:val="20"/>
          <w:szCs w:val="20"/>
          <w:color w:val="auto"/>
        </w:rPr>
      </w:pPr>
    </w:p>
    <w:p>
      <w:pPr>
        <w:ind w:right="80" w:firstLine="405"/>
        <w:spacing w:after="0" w:line="218" w:lineRule="exact"/>
        <w:rPr>
          <w:sz w:val="20"/>
          <w:szCs w:val="20"/>
          <w:color w:val="auto"/>
        </w:rPr>
      </w:pPr>
      <w:r>
        <w:rPr>
          <w:rFonts w:ascii="Arial" w:cs="Arial" w:eastAsia="Arial" w:hAnsi="Arial"/>
          <w:sz w:val="16"/>
          <w:szCs w:val="16"/>
          <w:color w:val="auto"/>
        </w:rPr>
        <w:t>Property and equipment is recorded at cost, net of accumulated depreciation. Depreciation on owned property and equipment is provided for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estimated useful lives of owned assets. Leasehold improvements are amortized over the estimated useful life of the property or over the term of the lease, whichever is shorter. Estimated useful lives are seven years for infusion pumps and three years to thirteen years for equipment. Major repairs, which extend the useful life of an asset, are capitalized in the property and equipment accounts. Routine maintenance and repairs are expensed as incurred. Computer software is included in property and equipment and consists of purchased software and internally-developed software. The Company capitalizes application-stage development costs for significant internally-developed software projects. Once the software is ready for its intended use, these costs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software’s estimated useful life, generally five years. Costs recognized in the preliminary project phase and the post-implementation phase, as well as maintenance and training costs, are expensed as incurred.</w:t>
      </w:r>
    </w:p>
    <w:p>
      <w:pPr>
        <w:spacing w:after="0" w:line="203" w:lineRule="exact"/>
        <w:rPr>
          <w:sz w:val="20"/>
          <w:szCs w:val="20"/>
          <w:color w:val="auto"/>
        </w:rPr>
      </w:pPr>
    </w:p>
    <w:p>
      <w:pPr>
        <w:ind w:right="260" w:firstLine="405"/>
        <w:spacing w:after="0" w:line="221" w:lineRule="exact"/>
        <w:rPr>
          <w:sz w:val="20"/>
          <w:szCs w:val="20"/>
          <w:color w:val="auto"/>
        </w:rPr>
      </w:pPr>
      <w:r>
        <w:rPr>
          <w:rFonts w:ascii="Arial" w:cs="Arial" w:eastAsia="Arial" w:hAnsi="Arial"/>
          <w:sz w:val="18"/>
          <w:szCs w:val="18"/>
          <w:color w:val="auto"/>
        </w:rPr>
        <w:t>The Company tests long</w:t>
      </w:r>
      <w:r>
        <w:rPr>
          <w:rFonts w:ascii="MS PGothic" w:cs="MS PGothic" w:eastAsia="MS PGothic" w:hAnsi="MS PGothic"/>
          <w:sz w:val="18"/>
          <w:szCs w:val="18"/>
          <w:color w:val="auto"/>
        </w:rPr>
        <w:t>‑</w:t>
      </w:r>
      <w:r>
        <w:rPr>
          <w:rFonts w:ascii="Arial" w:cs="Arial" w:eastAsia="Arial" w:hAnsi="Arial"/>
          <w:sz w:val="18"/>
          <w:szCs w:val="18"/>
          <w:color w:val="auto"/>
        </w:rPr>
        <w:t>lived assets for impairment whenever events or circumstances indicate that a certain asset or asset group may be impaired. Once identified, the amount of the impairment is computed by comparing the carrying value of the respective asset or asset group to its fair value, which is based on the discounted estimated future cash flows.</w:t>
      </w:r>
    </w:p>
    <w:p>
      <w:pPr>
        <w:spacing w:after="0" w:line="198" w:lineRule="exact"/>
        <w:rPr>
          <w:sz w:val="20"/>
          <w:szCs w:val="20"/>
          <w:color w:val="auto"/>
        </w:rPr>
      </w:pPr>
    </w:p>
    <w:p>
      <w:pPr>
        <w:ind w:firstLine="405"/>
        <w:spacing w:after="0" w:line="274" w:lineRule="auto"/>
        <w:rPr>
          <w:sz w:val="20"/>
          <w:szCs w:val="20"/>
          <w:color w:val="auto"/>
        </w:rPr>
      </w:pPr>
      <w:r>
        <w:rPr>
          <w:rFonts w:ascii="Arial" w:cs="Arial" w:eastAsia="Arial" w:hAnsi="Arial"/>
          <w:sz w:val="17"/>
          <w:szCs w:val="17"/>
          <w:b w:val="1"/>
          <w:bCs w:val="1"/>
          <w:color w:val="auto"/>
        </w:rPr>
        <w:t xml:space="preserve">Equity Method Investments </w:t>
      </w:r>
      <w:r>
        <w:rPr>
          <w:rFonts w:ascii="Arial" w:cs="Arial" w:eastAsia="Arial" w:hAnsi="Arial"/>
          <w:sz w:val="17"/>
          <w:szCs w:val="17"/>
          <w:color w:val="auto"/>
        </w:rPr>
        <w:t>— The Company’s investments in certain unconsolidated entities are accounted for under the equity method. The balance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these investments is included in other noncurrent assets in the accompanying consolidated balance sheets. The investment is increased to reflect the Company’s capital contributions and equity in earnings of the investees. The investment is decreased to reflect the Company’s equity in losses of the investees and for distributions received that are not in excess of the carrying amount of the investments. The Company’s proportionate share of earnings or losses of the investees are recorded in equity in earnings of joint ventures in the accompanying consolidated statements of comprehensive income (loss). See Note 11, </w:t>
      </w:r>
      <w:r>
        <w:rPr>
          <w:rFonts w:ascii="Arial" w:cs="Arial" w:eastAsia="Arial" w:hAnsi="Arial"/>
          <w:sz w:val="17"/>
          <w:szCs w:val="17"/>
          <w:i w:val="1"/>
          <w:iCs w:val="1"/>
          <w:color w:val="auto"/>
        </w:rPr>
        <w:t>Equity-Method Investments</w:t>
      </w:r>
      <w:r>
        <w:rPr>
          <w:rFonts w:ascii="Arial" w:cs="Arial" w:eastAsia="Arial" w:hAnsi="Arial"/>
          <w:sz w:val="17"/>
          <w:szCs w:val="17"/>
          <w:color w:val="auto"/>
        </w:rPr>
        <w:t>, for a further discussion of the Company’s equity method investments.</w:t>
      </w:r>
    </w:p>
    <w:p>
      <w:pPr>
        <w:spacing w:after="0" w:line="133" w:lineRule="exact"/>
        <w:rPr>
          <w:sz w:val="20"/>
          <w:szCs w:val="20"/>
          <w:color w:val="auto"/>
        </w:rPr>
      </w:pPr>
    </w:p>
    <w:p>
      <w:pPr>
        <w:ind w:right="240" w:firstLine="405"/>
        <w:spacing w:after="0" w:line="266" w:lineRule="auto"/>
        <w:rPr>
          <w:sz w:val="20"/>
          <w:szCs w:val="20"/>
          <w:color w:val="auto"/>
        </w:rPr>
      </w:pPr>
      <w:r>
        <w:rPr>
          <w:rFonts w:ascii="Arial" w:cs="Arial" w:eastAsia="Arial" w:hAnsi="Arial"/>
          <w:sz w:val="18"/>
          <w:szCs w:val="18"/>
          <w:b w:val="1"/>
          <w:bCs w:val="1"/>
          <w:color w:val="auto"/>
        </w:rPr>
        <w:t xml:space="preserve">Hedging Instruments </w:t>
      </w:r>
      <w:r>
        <w:rPr>
          <w:rFonts w:ascii="Arial" w:cs="Arial" w:eastAsia="Arial" w:hAnsi="Arial"/>
          <w:sz w:val="18"/>
          <w:szCs w:val="18"/>
          <w:color w:val="auto"/>
        </w:rPr>
        <w:t>— The Company uses derivative financial instruments to limit its exposure to increases in the interest rate of its variable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debt instruments. The derivative financial instruments are recognized on the consolidated balance sheets at fair value. See Note 13,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At inception of the hedge, the Company designated the derivative instruments as a hedge of the cash flows related to the interest on the variable rate debt. For all hedging relationships, the Company documents the hedging relationships and its risk management objective of the hedging relationship. For all hedging instruments, the terms of the hedge perfectly offset the hedged expected cash flows.</w:t>
      </w:r>
    </w:p>
    <w:p>
      <w:pPr>
        <w:spacing w:after="0" w:line="177" w:lineRule="exact"/>
        <w:rPr>
          <w:sz w:val="20"/>
          <w:szCs w:val="20"/>
          <w:color w:val="auto"/>
        </w:rPr>
      </w:pPr>
    </w:p>
    <w:p>
      <w:pPr>
        <w:ind w:right="120" w:firstLine="405"/>
        <w:spacing w:after="0" w:line="289"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Net revenue is reported at the net realizable value amount that reflects the consideration the Company expects to receive in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for providing services. Revenues are from government payers, commercial payers, and patients for goods and services provided and are based on a gross price based on payer contracts, fee schedules, or other arrangements less any implicit price concessions.</w:t>
      </w:r>
    </w:p>
    <w:p>
      <w:pPr>
        <w:spacing w:after="0" w:line="16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06"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0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The Company's outstanding performance obligations relate to contracts with a duration of less than one year. Therefore, the Company has elected to apply the practical expedient provided by ASC 606 and is not required to disclose the aggregate amount of the transaction price allocated to performance obligations that are unsatisfied or partially unsatisfied at the end of the reporting period. Any unsatisfied or partially unsatisfied performance obligations at the end of a reporting period are generally completed prior to the patient being discharged. See Note 4,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for a further discussion on revenue.</w:t>
      </w:r>
    </w:p>
    <w:p>
      <w:pPr>
        <w:spacing w:after="0" w:line="150" w:lineRule="exact"/>
        <w:rPr>
          <w:sz w:val="20"/>
          <w:szCs w:val="20"/>
          <w:color w:val="auto"/>
        </w:rPr>
      </w:pPr>
    </w:p>
    <w:p>
      <w:pPr>
        <w:jc w:val="both"/>
        <w:ind w:right="100" w:firstLine="405"/>
        <w:spacing w:after="0" w:line="289" w:lineRule="auto"/>
        <w:rPr>
          <w:sz w:val="20"/>
          <w:szCs w:val="20"/>
          <w:color w:val="auto"/>
        </w:rPr>
      </w:pPr>
      <w:r>
        <w:rPr>
          <w:rFonts w:ascii="Arial" w:cs="Arial" w:eastAsia="Arial" w:hAnsi="Arial"/>
          <w:sz w:val="17"/>
          <w:szCs w:val="17"/>
          <w:b w:val="1"/>
          <w:bCs w:val="1"/>
          <w:color w:val="auto"/>
        </w:rPr>
        <w:t xml:space="preserve">Cost of Revenue </w:t>
      </w:r>
      <w:r>
        <w:rPr>
          <w:rFonts w:ascii="Arial" w:cs="Arial" w:eastAsia="Arial" w:hAnsi="Arial"/>
          <w:sz w:val="17"/>
          <w:szCs w:val="17"/>
          <w:color w:val="auto"/>
        </w:rPr>
        <w:t>— Cost of revenue consists of the actual cost of pharmaceuticals and other medical supplies dispensed to patients, as well as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costs directly related to the production of revenue. These costs include warehousing costs, purchasing costs, freight costs, cash discounts, wages and related costs for pharmacists and nurses, along with depreciation expense relating to revenue-generating assets, such as infusion pumps.</w:t>
      </w:r>
    </w:p>
    <w:p>
      <w:pPr>
        <w:spacing w:after="0" w:line="162" w:lineRule="exact"/>
        <w:rPr>
          <w:sz w:val="20"/>
          <w:szCs w:val="20"/>
          <w:color w:val="auto"/>
        </w:rPr>
      </w:pPr>
    </w:p>
    <w:p>
      <w:pPr>
        <w:jc w:val="both"/>
        <w:ind w:right="100" w:firstLine="405"/>
        <w:spacing w:after="0" w:line="308" w:lineRule="auto"/>
        <w:rPr>
          <w:sz w:val="20"/>
          <w:szCs w:val="20"/>
          <w:color w:val="auto"/>
        </w:rPr>
      </w:pPr>
      <w:r>
        <w:rPr>
          <w:rFonts w:ascii="Arial" w:cs="Arial" w:eastAsia="Arial" w:hAnsi="Arial"/>
          <w:sz w:val="17"/>
          <w:szCs w:val="17"/>
          <w:color w:val="auto"/>
        </w:rPr>
        <w:t>The Company receives prompt payment discounts from some of its pharmaceutical and medical supplies vendors. These prompt payment discounts are recorded as a reduction of inventory and are accounted for as a reduction of cost of goods sold when the related inventory is sold.</w:t>
      </w:r>
    </w:p>
    <w:p>
      <w:pPr>
        <w:spacing w:after="0" w:line="147"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The Company also receives rebates from pharmaceutical and medical supply manufacturers. Rebates are generally volume-based incentives and are recorded as a reduction of inventory and are accounted for as a reduction of cost of goods sold when the related inventory is sold.</w:t>
      </w:r>
    </w:p>
    <w:p>
      <w:pPr>
        <w:spacing w:after="0" w:line="143" w:lineRule="exact"/>
        <w:rPr>
          <w:sz w:val="20"/>
          <w:szCs w:val="20"/>
          <w:color w:val="auto"/>
        </w:rPr>
      </w:pPr>
    </w:p>
    <w:p>
      <w:pPr>
        <w:ind w:right="800" w:firstLine="405"/>
        <w:spacing w:after="0" w:line="347"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 Selling, general and administrative expenses mainly consist of salaries for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that directly and indirectly support the operations, occupancy costs, marketing expenditures, insurance, and professional fees.</w:t>
      </w:r>
    </w:p>
    <w:p>
      <w:pPr>
        <w:spacing w:after="0" w:line="116"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b w:val="1"/>
          <w:bCs w:val="1"/>
          <w:color w:val="auto"/>
        </w:rPr>
        <w:t xml:space="preserve">Stock Based Incentive Compensation </w:t>
      </w:r>
      <w:r>
        <w:rPr>
          <w:rFonts w:ascii="Arial" w:cs="Arial" w:eastAsia="Arial" w:hAnsi="Arial"/>
          <w:sz w:val="16"/>
          <w:szCs w:val="16"/>
          <w:color w:val="auto"/>
        </w:rPr>
        <w:t>- The Company accounts for stock-based incentive compensation expense in accordance with ASC Topic 718,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Compensation-Stock Compensation </w:t>
      </w:r>
      <w:r>
        <w:rPr>
          <w:rFonts w:ascii="Arial" w:cs="Arial" w:eastAsia="Arial" w:hAnsi="Arial"/>
          <w:sz w:val="16"/>
          <w:szCs w:val="16"/>
          <w:color w:val="auto"/>
        </w:rPr>
        <w:t>(“ASC 718”). Stock-based incentive compensation expense is based on the grant date fair value. The Company estimates</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stock option awards using a Black-Scholes option pricing model and the fair value of restricted stock unit awards using the closing price of the Company’s common stock on the grant date. For awards with a service-based vesting condition, the Company recognizes expense on a straight-line basis over the service period of the award. For awards with performance-based vesting conditions, the Company will recognize expense when it is probable that the performance-based conditions will be met. When the Company determines that it is probable that the performance-based conditions will be met, a cumulative catch-up of expense will be recorded as if the award had been vesting on a straight-line basis from the award date. The award will continue to be expensed on a straight-line basis through the remainder of the vesting period and will be updated if the Company determines that there has been a change in the probability of achieving the performance-based conditions. The Company records the impact of forfeited awards in the period in which the forfeiture occurs.</w:t>
      </w:r>
    </w:p>
    <w:p>
      <w:pPr>
        <w:spacing w:after="0" w:line="8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 xml:space="preserve">Prior to the Merger, HCI issued incentive units to certain employees of Option Care, who remained employees of the Company following the Merger. In accordance with ASC 718, the Company recognizes compensation expense on a straight-line basis over the shorter of the vesting period of the award or the employee’s expected eligibility date. HC I also issued equity incentive units to certain members of the Option Care Board of Directors, who remained members of the Board of Directors following the Merger. See Note 16, </w:t>
      </w:r>
      <w:r>
        <w:rPr>
          <w:rFonts w:ascii="Arial" w:cs="Arial" w:eastAsia="Arial" w:hAnsi="Arial"/>
          <w:sz w:val="18"/>
          <w:szCs w:val="18"/>
          <w:i w:val="1"/>
          <w:iCs w:val="1"/>
          <w:color w:val="auto"/>
        </w:rPr>
        <w:t>Stock-Based Incentive Compensation</w:t>
      </w:r>
      <w:r>
        <w:rPr>
          <w:rFonts w:ascii="Arial" w:cs="Arial" w:eastAsia="Arial" w:hAnsi="Arial"/>
          <w:sz w:val="18"/>
          <w:szCs w:val="18"/>
          <w:color w:val="auto"/>
        </w:rPr>
        <w:t>, for a further discussion of equity incentive plans.</w:t>
      </w:r>
    </w:p>
    <w:p>
      <w:pPr>
        <w:spacing w:after="0" w:line="103" w:lineRule="exact"/>
        <w:rPr>
          <w:sz w:val="20"/>
          <w:szCs w:val="20"/>
          <w:color w:val="auto"/>
        </w:rPr>
      </w:pPr>
    </w:p>
    <w:p>
      <w:pPr>
        <w:ind w:right="160" w:firstLine="405"/>
        <w:spacing w:after="0" w:line="266" w:lineRule="auto"/>
        <w:rPr>
          <w:sz w:val="20"/>
          <w:szCs w:val="20"/>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color w:val="auto"/>
        </w:rPr>
        <w:t>- The Company accounts for business acquisitions in accordance with ASC Topic 805,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liabilities being recorded at their acquisition date fair value and goodwill being calculated as the purchase price in excess of the net identifiable assets. See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for further discussion of the Company’s business acquisitions.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firstLine="405"/>
        <w:spacing w:after="0" w:line="274"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On December 22, 2017, the U.S. government enacted H.R. 1, commonly known as the Tax Cuts and Jobs Act of 2017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Act”). The Tax Act significantly changed U.S. tax law by, among other things, reducing the corporate tax rate from 35% to 21%, effective January 1, 2018. In addition, there are many new provisions including changes to bonus depreciation, the deduction for executive compensation and interest expense, and usage of future net operating losses. Included in the tax benefit for 2017 is the impact of the corporate tax rate reduction which resulted in a $17.0 million non-cash adjustment of our net deferred tax liabilities and a corresponding credit to income tax benefit. While the corporate tax rate reduction was effective January 1, 2018, the Company accounted for this anticipated rate change in 2017, the period of enactment.</w:t>
      </w:r>
    </w:p>
    <w:p>
      <w:pPr>
        <w:spacing w:after="0" w:line="17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Deferred tax assets and liabilities are reported for 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recognizes income tax positions that are more likely than not to be sustained on their technical merits. The Company measures recognized income tax positions at the maximum benefit that is more likely than not, based on cumulative probability, realizable upon final settlement of the position. Interest and penalties related to unrecognized tax benefits are reported in income tax expense.</w:t>
      </w:r>
    </w:p>
    <w:p>
      <w:pPr>
        <w:spacing w:after="0" w:line="177"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Concentrations of Business Risk </w:t>
      </w:r>
      <w:r>
        <w:rPr>
          <w:rFonts w:ascii="Arial" w:cs="Arial" w:eastAsia="Arial" w:hAnsi="Arial"/>
          <w:sz w:val="18"/>
          <w:szCs w:val="18"/>
          <w:color w:val="auto"/>
        </w:rPr>
        <w:t>— The Company generates revenue from managed care contracts and other agreements with commercial third-party</w:t>
      </w:r>
      <w:r>
        <w:rPr>
          <w:rFonts w:ascii="Arial" w:cs="Arial" w:eastAsia="Arial" w:hAnsi="Arial"/>
          <w:sz w:val="18"/>
          <w:szCs w:val="18"/>
          <w:b w:val="1"/>
          <w:bCs w:val="1"/>
          <w:color w:val="auto"/>
        </w:rPr>
        <w:t xml:space="preserve"> </w:t>
      </w:r>
      <w:r>
        <w:rPr>
          <w:rFonts w:ascii="Arial" w:cs="Arial" w:eastAsia="Arial" w:hAnsi="Arial"/>
          <w:sz w:val="18"/>
          <w:szCs w:val="18"/>
          <w:color w:val="auto"/>
        </w:rPr>
        <w:t>payers. Revenue related to the Company’s largest payer was approximately 16%, 17% and 17% for the years ended December 31, 2019, 2018 and 2017, respectively. In December 2019, the Company renewed and expanded its multi-year contract with this payer. The contract renewal is effective in February 2020 for a two-year term and auto-renews at the end of that term. There were no other managed care contracts that represent greater than 10% of revenue for the years presented.</w:t>
      </w:r>
    </w:p>
    <w:p>
      <w:pPr>
        <w:spacing w:after="0" w:line="18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the years ended December 31, 2019, 2018 and 2017, approximately 12%, 12% and 14%, respectively, of the Company’s revenue was reimbursable through direct government healthcare programs such as Medicare and Medicaid. As of December 31, 2019 and 2018, approximately 12% and 13%, respectively, of the Company’s accounts receivable was related to these programs. Governmental programs reimburse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73"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concentrations of credit risk relating to trade accounts receivable is limited due to the Company’s diversity of patients and payers. Further, the Company generally does not provide charity care.</w:t>
      </w:r>
    </w:p>
    <w:p>
      <w:pPr>
        <w:spacing w:after="0" w:line="18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For the year ended December 31, 2019, approximately 70% of the Company’s pharmaceutical and medical supply purchases were from three vendors. For the years ended December 31, 2018 and 2017, approximately 66% and 73%, respectively, of the Company’s pharmaceutical and medical supply purchases were from two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 The fair value measurement accounting standard, ASC Topic 820,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b w:val="1"/>
          <w:bCs w:val="1"/>
          <w:color w:val="auto"/>
        </w:rPr>
        <w:t xml:space="preserve"> </w:t>
      </w:r>
      <w:r>
        <w:rPr>
          <w:rFonts w:ascii="Arial" w:cs="Arial" w:eastAsia="Arial" w:hAnsi="Arial"/>
          <w:sz w:val="17"/>
          <w:szCs w:val="17"/>
          <w:color w:val="auto"/>
        </w:rPr>
        <w:t>(“ASC 820”), provides a</w:t>
      </w:r>
      <w:r>
        <w:rPr>
          <w:rFonts w:ascii="Arial" w:cs="Arial" w:eastAsia="Arial" w:hAnsi="Arial"/>
          <w:sz w:val="17"/>
          <w:szCs w:val="17"/>
          <w:b w:val="1"/>
          <w:bCs w:val="1"/>
          <w:color w:val="auto"/>
        </w:rPr>
        <w:t xml:space="preserve"> </w:t>
      </w:r>
      <w:r>
        <w:rPr>
          <w:rFonts w:ascii="Arial" w:cs="Arial" w:eastAsia="Arial" w:hAnsi="Arial"/>
          <w:sz w:val="17"/>
          <w:szCs w:val="17"/>
          <w:color w:val="auto"/>
        </w:rPr>
        <w:t>framework for measuring fair value and defines fair value as the price that would be received to sell an asset or paid to transfer a liability. Fair value is a market-based measurement that should be determined using assumptions that market participants would use in pricing an asset or liability. The standard establishes a valuation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independent market data sources. Unobservable inputs are inputs that reflect the Company’s assumptions about the factors market participants would use in valuing the asset or liability developed based upon the best information available. The valuation hierarchy is composed of three categories. The categorization within the valuation hierarchy is based on the lowest level of input that is significant to the fair value measurement. The categories within the valuation hierarchy are described as follows: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1060" w:hanging="32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2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81" w:lineRule="exact"/>
        <w:rPr>
          <w:rFonts w:ascii="Arial" w:cs="Arial" w:eastAsia="Arial" w:hAnsi="Arial"/>
          <w:sz w:val="18"/>
          <w:szCs w:val="18"/>
          <w:color w:val="auto"/>
        </w:rPr>
      </w:pPr>
    </w:p>
    <w:p>
      <w:pPr>
        <w:ind w:left="1060" w:hanging="323"/>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22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2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color w:val="auto"/>
        </w:rPr>
        <w:t xml:space="preserve">Recently-Adopted Accounting Pronouncements </w:t>
      </w:r>
      <w:r>
        <w:rPr>
          <w:rFonts w:ascii="Arial" w:cs="Arial" w:eastAsia="Arial" w:hAnsi="Arial"/>
          <w:sz w:val="16"/>
          <w:szCs w:val="16"/>
          <w:color w:val="auto"/>
        </w:rPr>
        <w:t>— In February 2016, the FASB issued ASU No.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intended to improve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reporting about leasing transactions. The new guidance requires entities that lease assets to recognize on their balance sheets the ROU assets and lease liabilities for the rights and obligations created by those leases and to disclose key information about leasing arrangements. ASU 2016-02 is effective for interim and annual periods beginning after December 15, 2018 for public entities and certain not-for-profits. The Company adopted the standard as of January 1, 2019. ASU 2016-02 allows for an optional transition method, which was elected by the Company, and permits the application of the standard as of the effective date without requiring the standard to be applied to the comparative periods presented in the consolidated financial statements. The Company elected the transition package of three practical expedients allowed by ASU 2016-02, which allows the Company not to reassess prior conclusions about lease identification, lease classification and initial, direct costs. The Company did not elect the practical expedient to use hindsight and, accordingly, the initial lease term did not differ under the new standard versus prior accounting practice. The Company also made a policy election not to apply this standard to any leases with a term of 12 months or less. Adoption of ASU 2016-02 resulted in the Company recording an operating lease liability of $67.0 million and a corresponding ROU asset of $59.9 million in the consolidated balance sheet as of January 1, 2019. See Note 8, </w:t>
      </w:r>
      <w:r>
        <w:rPr>
          <w:rFonts w:ascii="Arial" w:cs="Arial" w:eastAsia="Arial" w:hAnsi="Arial"/>
          <w:sz w:val="16"/>
          <w:szCs w:val="16"/>
          <w:i w:val="1"/>
          <w:iCs w:val="1"/>
          <w:color w:val="auto"/>
        </w:rPr>
        <w:t>Leases</w:t>
      </w:r>
      <w:r>
        <w:rPr>
          <w:rFonts w:ascii="Arial" w:cs="Arial" w:eastAsia="Arial" w:hAnsi="Arial"/>
          <w:sz w:val="16"/>
          <w:szCs w:val="16"/>
          <w:color w:val="auto"/>
        </w:rPr>
        <w:t>, for further discussion on leases.</w:t>
      </w:r>
    </w:p>
    <w:p>
      <w:pPr>
        <w:spacing w:after="0" w:line="16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The ASU requires that an entity recognizes revenue to depict the transfer of promised goods or services to a customer in an amount that reflects the consideration to which the Company expects to be entitled in exchange for these goods or services. ASU 2014-09 is effective for interim and annual reporting periods beginning after December 15, 2017 for public entities and certain not-for-profits. The Company adopted the standard as of January 1, 2018. ASU 2014-09 allows for a modified retrospective approach upon adoption, which was elected by the Company, and permits application of the standard only to contracts that are not completed at the adoption date with no adjustment to the comparative periods presented in the consolidated financial statements. The Company also elected the practical expedient for the portfolio approach, allowing contracts with similar characteristics and impacts to the financial statements to be evaluated together. ASU 2014-09 requires the Company to recognize revenue as the amount of cash that is ultimately expected to be collected, which resulted in the Company treating its previously-reported provision for doubtful accounts as an implicit price concession and a reduction to revenue. Other than the treatment of bad debt expense, the adoption of this standard did not have a material impact on the Company’s consolidated financial statements. See Note 4, </w:t>
      </w:r>
      <w:r>
        <w:rPr>
          <w:rFonts w:ascii="Arial" w:cs="Arial" w:eastAsia="Arial" w:hAnsi="Arial"/>
          <w:sz w:val="16"/>
          <w:szCs w:val="16"/>
          <w:i w:val="1"/>
          <w:iCs w:val="1"/>
          <w:color w:val="auto"/>
        </w:rPr>
        <w:t>Revenue</w:t>
      </w:r>
      <w:r>
        <w:rPr>
          <w:rFonts w:ascii="Arial" w:cs="Arial" w:eastAsia="Arial" w:hAnsi="Arial"/>
          <w:sz w:val="16"/>
          <w:szCs w:val="16"/>
          <w:color w:val="auto"/>
        </w:rPr>
        <w:t>, for further discussion on revenue.</w:t>
      </w:r>
    </w:p>
    <w:p>
      <w:pPr>
        <w:spacing w:after="0" w:line="16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ASU 2019-09 modifies when a change to the terms or conditions of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effective date for ASU 2017-09 is for annual or interim periods beginning after December 15, 2017. The Company adopted the standard as of January 1, 2018. The adoption of this standard did not have a material impact on the Company’s consolidated financial statements.</w:t>
      </w:r>
    </w:p>
    <w:p>
      <w:pPr>
        <w:spacing w:after="0" w:line="15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In June 2016, the FASB issued ASU 2016-13,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Credit Losses (Topic 326):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measurement and recognition of expected credit losses for financial assets held.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ASU 2016-13 eliminate the probable threshold for initial recognition of a credit loss in current GAAP and reflect an entity’s current estimate of all expected credit losses. ASU 2016-13 is effective for interim and annual reporting periods beginning after December 15, 2019, and is to be applied using a modified retrospective transition method. Early adoption is permitted. The adoption of this standard is not expected to have a material impact on the Company’s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right="60" w:firstLine="324"/>
        <w:spacing w:after="0" w:line="274" w:lineRule="auto"/>
        <w:rPr>
          <w:sz w:val="20"/>
          <w:szCs w:val="20"/>
          <w:color w:val="auto"/>
        </w:rPr>
      </w:pPr>
      <w:r>
        <w:rPr>
          <w:rFonts w:ascii="Arial" w:cs="Arial" w:eastAsia="Arial" w:hAnsi="Arial"/>
          <w:sz w:val="17"/>
          <w:szCs w:val="17"/>
          <w:b w:val="1"/>
          <w:bCs w:val="1"/>
          <w:color w:val="auto"/>
        </w:rPr>
        <w:t xml:space="preserve">Immaterial Error Correction </w:t>
      </w:r>
      <w:r>
        <w:rPr>
          <w:rFonts w:ascii="Arial" w:cs="Arial" w:eastAsia="Arial" w:hAnsi="Arial"/>
          <w:sz w:val="17"/>
          <w:szCs w:val="17"/>
          <w:color w:val="auto"/>
        </w:rPr>
        <w:t>— During the year ended December 31, 2019, the Company identified prior period misstatements in the recording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noncurrent liabilities that resulted in an overstatement of goodwill and other noncurrent liabilities in the Company’s consolidated balance sheets. The Company assessed the materiality of these misstatements both quantitatively and qualitatively and determined the correction of these errors to be immaterial to the prior consolidated financial statements taken as a whole. As a result, the Company has corrected the misstatements by decreasing goodwill and other noncurrent liabilities by $6.5 million in the accompanying financial statements. The misstatements had no impact on net (loss) income or net cash flows from operating, investing, or financing activities in any of the periods presented.</w:t>
      </w:r>
    </w:p>
    <w:p>
      <w:pPr>
        <w:spacing w:after="0" w:line="25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During the fourth quarter of the year ended December 31, 2019, the Company identified a misstatement in the recording of certain transaction fees related to the Merger, which resulted in a $6.5 million understatement of net loss for the three and nine months ended September 30, 2019 and a $6.5 million understatement of long term debt, net, at September 30, 2019, as reported in the third quarter 2019 report on Form 10-Q. The Company assessed the materiality of these misstatements both quantitatively and qualitatively and determined the correction of these errors to be immaterial to the results as reported in the third quarter report on Form 10-Q. As a result, the Company has corrected the misstatements by (i) increasing selling, general and administrative expense on the statement of comprehensive income (loss), (ii) increasing long-term debt, net and reducing retained earnings on the balance sheet, and (iii) decreasing net cash provided by operating activities and increasing net cash provided by financing activities on the statement of cash flows in the fourth quarter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185"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b w:val="1"/>
          <w:bCs w:val="1"/>
          <w:color w:val="auto"/>
        </w:rPr>
        <w:t xml:space="preserve">Merger with BioScrip, Inc. </w:t>
      </w:r>
      <w:r>
        <w:rPr>
          <w:rFonts w:ascii="Arial" w:cs="Arial" w:eastAsia="Arial" w:hAnsi="Arial"/>
          <w:sz w:val="18"/>
          <w:szCs w:val="18"/>
          <w:color w:val="auto"/>
        </w:rPr>
        <w:t>— As discussed in Note 1,</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Operations and Presentation of Financial Statements,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Care merged with</w:t>
      </w:r>
      <w:r>
        <w:rPr>
          <w:rFonts w:ascii="Arial" w:cs="Arial" w:eastAsia="Arial" w:hAnsi="Arial"/>
          <w:sz w:val="18"/>
          <w:szCs w:val="18"/>
          <w:b w:val="1"/>
          <w:bCs w:val="1"/>
          <w:color w:val="auto"/>
        </w:rPr>
        <w:t xml:space="preserve"> </w:t>
      </w:r>
      <w:r>
        <w:rPr>
          <w:rFonts w:ascii="Arial" w:cs="Arial" w:eastAsia="Arial" w:hAnsi="Arial"/>
          <w:sz w:val="18"/>
          <w:szCs w:val="18"/>
          <w:color w:val="auto"/>
        </w:rPr>
        <w:t>BioScrip on August 6, 2019. BioScrip was a national provider of infusion and home care management solutions. The Merger of Option Care and BioScrip into Option Care Health created an expanded national platform and the opportunity to drive economies of scale through procurement savings, facility rationalization and other operating cost savings.</w:t>
      </w:r>
    </w:p>
    <w:p>
      <w:pPr>
        <w:spacing w:after="0" w:line="184"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The fair value of purchase consideration transferred on the closing date includes the value of the number of shares of the combined company owned by BioScrip shareholders at closing of the Merger, the value of common shares issued to certain warrant and preferred shareholders in conjunction with the Merger, the fair value of stock-based instruments that were vested or earned as of the Merger, and cash payments made in conjunction with the Merger. The fair value per share of BioScrip’s common stock was $2.67 per share. This is the closing price of the BioScrip common stock on August 6, 2019.</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acquisition method of accounting, the calculation of total consideration exchanged is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Amount</w:t>
            </w:r>
          </w:p>
        </w:tc>
      </w:tr>
      <w:tr>
        <w:trPr>
          <w:trHeight w:val="256"/>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Number of BioScrip common shares outstanding at time of the Merger (1)</w:t>
            </w:r>
          </w:p>
        </w:tc>
        <w:tc>
          <w:tcPr>
            <w:tcW w:w="4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129,181</w:t>
            </w:r>
          </w:p>
        </w:tc>
      </w:tr>
      <w:tr>
        <w:trPr>
          <w:trHeight w:val="264"/>
        </w:trPr>
        <w:tc>
          <w:tcPr>
            <w:tcW w:w="9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Common shares issued to warrant and preferred stockholders at time of the Merger (1)</w:t>
            </w:r>
          </w:p>
        </w:tc>
        <w:tc>
          <w:tcPr>
            <w:tcW w:w="4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3,458</w:t>
            </w:r>
          </w:p>
        </w:tc>
      </w:tr>
      <w:tr>
        <w:trPr>
          <w:trHeight w:val="256"/>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shares of BioScrip common stock outstanding at time of the Merger (1)</w:t>
            </w:r>
          </w:p>
        </w:tc>
        <w:tc>
          <w:tcPr>
            <w:tcW w:w="4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132,639</w:t>
            </w:r>
          </w:p>
        </w:tc>
      </w:tr>
      <w:tr>
        <w:trPr>
          <w:trHeight w:val="264"/>
        </w:trPr>
        <w:tc>
          <w:tcPr>
            <w:tcW w:w="9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BioScrip share price as of August 6, 2019</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r>
      <w:tr>
        <w:trPr>
          <w:trHeight w:val="256"/>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Fair value of common shares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354,146</w:t>
            </w:r>
          </w:p>
        </w:tc>
      </w:tr>
      <w:tr>
        <w:trPr>
          <w:trHeight w:val="264"/>
        </w:trPr>
        <w:tc>
          <w:tcPr>
            <w:tcW w:w="9280" w:type="dxa"/>
            <w:vAlign w:val="bottom"/>
          </w:tcPr>
          <w:p>
            <w:pPr>
              <w:ind w:left="40"/>
              <w:spacing w:after="0"/>
              <w:rPr>
                <w:sz w:val="20"/>
                <w:szCs w:val="20"/>
                <w:color w:val="auto"/>
              </w:rPr>
            </w:pPr>
            <w:r>
              <w:rPr>
                <w:rFonts w:ascii="Arial" w:cs="Arial" w:eastAsia="Arial" w:hAnsi="Arial"/>
                <w:sz w:val="14"/>
                <w:szCs w:val="14"/>
                <w:color w:val="auto"/>
              </w:rPr>
              <w:t>Fair value of share-based instruments</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32,898</w:t>
            </w:r>
          </w:p>
        </w:tc>
      </w:tr>
      <w:tr>
        <w:trPr>
          <w:trHeight w:val="270"/>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in conjunction with the Merger included in purchase consideration</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714,957</w:t>
            </w:r>
          </w:p>
        </w:tc>
      </w:tr>
      <w:tr>
        <w:trPr>
          <w:trHeight w:val="250"/>
        </w:trPr>
        <w:tc>
          <w:tcPr>
            <w:tcW w:w="9280" w:type="dxa"/>
            <w:vAlign w:val="bottom"/>
          </w:tcPr>
          <w:p>
            <w:pPr>
              <w:ind w:left="40"/>
              <w:spacing w:after="0"/>
              <w:rPr>
                <w:sz w:val="20"/>
                <w:szCs w:val="20"/>
                <w:color w:val="auto"/>
              </w:rPr>
            </w:pPr>
            <w:r>
              <w:rPr>
                <w:rFonts w:ascii="Arial" w:cs="Arial" w:eastAsia="Arial" w:hAnsi="Arial"/>
                <w:sz w:val="14"/>
                <w:szCs w:val="14"/>
                <w:color w:val="auto"/>
              </w:rPr>
              <w:t>Fair value of total consideration transferred</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1,102,001</w:t>
            </w:r>
          </w:p>
        </w:tc>
      </w:tr>
      <w:tr>
        <w:trPr>
          <w:trHeight w:val="270"/>
        </w:trPr>
        <w:tc>
          <w:tcPr>
            <w:tcW w:w="9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acquired</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14,787</w:t>
            </w:r>
          </w:p>
        </w:tc>
      </w:tr>
      <w:tr>
        <w:trPr>
          <w:trHeight w:val="243"/>
        </w:trPr>
        <w:tc>
          <w:tcPr>
            <w:tcW w:w="9280" w:type="dxa"/>
            <w:vAlign w:val="bottom"/>
          </w:tcPr>
          <w:p>
            <w:pPr>
              <w:ind w:left="40"/>
              <w:spacing w:after="0"/>
              <w:rPr>
                <w:sz w:val="20"/>
                <w:szCs w:val="20"/>
                <w:color w:val="auto"/>
              </w:rPr>
            </w:pPr>
            <w:r>
              <w:rPr>
                <w:rFonts w:ascii="Arial" w:cs="Arial" w:eastAsia="Arial" w:hAnsi="Arial"/>
                <w:sz w:val="14"/>
                <w:szCs w:val="14"/>
                <w:color w:val="auto"/>
              </w:rPr>
              <w:t>Fair value of total consideration acquired, net of cash acquired</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1,087,214</w:t>
            </w:r>
          </w:p>
        </w:tc>
      </w:tr>
      <w:tr>
        <w:trPr>
          <w:trHeight w:val="20"/>
        </w:trPr>
        <w:tc>
          <w:tcPr>
            <w:tcW w:w="9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332"/>
        <w:spacing w:after="0" w:line="277" w:lineRule="auto"/>
        <w:tabs>
          <w:tab w:leader="none" w:pos="5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These shares were not adjusted for the one share for four share reverse stock split, which occurred on February 3, 2020. See Note 20,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Events</w:t>
      </w:r>
      <w:r>
        <w:rPr>
          <w:rFonts w:ascii="Arial" w:cs="Arial" w:eastAsia="Arial" w:hAnsi="Arial"/>
          <w:sz w:val="18"/>
          <w:szCs w:val="18"/>
          <w:color w:val="auto"/>
        </w:rPr>
        <w:t>, for further discussion of this stock split.</w:t>
      </w:r>
    </w:p>
    <w:p>
      <w:pPr>
        <w:spacing w:after="0" w:line="170"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 xml:space="preserve">Cash paid in conjunction with the Merger includes payments made for settlement of $575.0 million in legacy BioScrip debt, $125.8 million in existing BioScrip preferred shares, and $14.1 million in legacy BioScrip success-based fees owed to third-party advisors. HC II financed these payments primarily through cash on hand and debt financing, which is discussed in Note 12, </w:t>
      </w:r>
      <w:r>
        <w:rPr>
          <w:rFonts w:ascii="Arial" w:cs="Arial" w:eastAsia="Arial" w:hAnsi="Arial"/>
          <w:sz w:val="18"/>
          <w:szCs w:val="18"/>
          <w:i w:val="1"/>
          <w:iCs w:val="1"/>
          <w:color w:val="auto"/>
        </w:rPr>
        <w:t>Indebtedness</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allocation of consideration exchanged to the net tangible and intangible assets acquired and liabilities assumed in the Merger is based on estimated fair values as of the Merger Date. The fair values were determined based upon a valuation and the estimates and assumptions used in the valuation of certain contingent liabilities are pending completion and subject to change, which could be significant, within the measurement period, up to one year from the August 6, 2019 acquisition date.</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is a preliminary estimate of the allocation of the consideration transferred to acquired identifiable assets and assumed liabilities, net of cash acquired, in the Merger as of August 6, 2019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Amount</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 (1)</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96,532</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Inventories (2)</w:t>
            </w:r>
          </w:p>
        </w:tc>
        <w:tc>
          <w:tcPr>
            <w:tcW w:w="480" w:type="dxa"/>
            <w:vAlign w:val="bottom"/>
          </w:tcPr>
          <w:p>
            <w:pPr>
              <w:spacing w:after="0"/>
              <w:rPr>
                <w:sz w:val="22"/>
                <w:szCs w:val="22"/>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19,683</w:t>
            </w: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 (3)</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48,732</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Intangible assets, net (4)</w:t>
            </w:r>
          </w:p>
        </w:tc>
        <w:tc>
          <w:tcPr>
            <w:tcW w:w="480" w:type="dxa"/>
            <w:vAlign w:val="bottom"/>
          </w:tcPr>
          <w:p>
            <w:pPr>
              <w:spacing w:after="0"/>
              <w:rPr>
                <w:sz w:val="22"/>
                <w:szCs w:val="22"/>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193,245</w:t>
            </w: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 of deferred tax liabilities (5)</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26,731</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Operating lease right-of-use asset (6)</w:t>
            </w:r>
          </w:p>
        </w:tc>
        <w:tc>
          <w:tcPr>
            <w:tcW w:w="480" w:type="dxa"/>
            <w:vAlign w:val="bottom"/>
          </w:tcPr>
          <w:p>
            <w:pPr>
              <w:spacing w:after="0"/>
              <w:rPr>
                <w:sz w:val="22"/>
                <w:szCs w:val="22"/>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22,378</w:t>
            </w: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liability (6)</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(28,897)</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Accounts payable (7)</w:t>
            </w:r>
          </w:p>
        </w:tc>
        <w:tc>
          <w:tcPr>
            <w:tcW w:w="4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(64,030)</w:t>
            </w: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assumed liabilities, net of other acquired assets (7)</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(20,233)</w:t>
            </w:r>
          </w:p>
        </w:tc>
      </w:tr>
      <w:tr>
        <w:trPr>
          <w:trHeight w:val="250"/>
        </w:trPr>
        <w:tc>
          <w:tcPr>
            <w:tcW w:w="6080" w:type="dxa"/>
            <w:vAlign w:val="bottom"/>
          </w:tcPr>
          <w:p>
            <w:pPr>
              <w:ind w:left="280"/>
              <w:spacing w:after="0"/>
              <w:rPr>
                <w:sz w:val="20"/>
                <w:szCs w:val="20"/>
                <w:color w:val="auto"/>
              </w:rPr>
            </w:pPr>
            <w:r>
              <w:rPr>
                <w:rFonts w:ascii="Arial" w:cs="Arial" w:eastAsia="Arial" w:hAnsi="Arial"/>
                <w:sz w:val="14"/>
                <w:szCs w:val="14"/>
                <w:color w:val="auto"/>
              </w:rPr>
              <w:t>Total acquired identifiable assets and liabilities</w:t>
            </w:r>
          </w:p>
        </w:tc>
        <w:tc>
          <w:tcPr>
            <w:tcW w:w="480" w:type="dxa"/>
            <w:vAlign w:val="bottom"/>
          </w:tcPr>
          <w:p>
            <w:pPr>
              <w:spacing w:after="0"/>
              <w:rPr>
                <w:sz w:val="21"/>
                <w:szCs w:val="21"/>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294,141</w:t>
            </w: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 (8)</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793,073</w:t>
            </w:r>
          </w:p>
        </w:tc>
      </w:tr>
      <w:tr>
        <w:trPr>
          <w:trHeight w:val="243"/>
        </w:trPr>
        <w:tc>
          <w:tcPr>
            <w:tcW w:w="6080" w:type="dxa"/>
            <w:vAlign w:val="bottom"/>
          </w:tcPr>
          <w:p>
            <w:pPr>
              <w:ind w:left="280"/>
              <w:spacing w:after="0"/>
              <w:rPr>
                <w:sz w:val="20"/>
                <w:szCs w:val="20"/>
                <w:color w:val="auto"/>
              </w:rPr>
            </w:pPr>
            <w:r>
              <w:rPr>
                <w:rFonts w:ascii="Arial" w:cs="Arial" w:eastAsia="Arial" w:hAnsi="Arial"/>
                <w:sz w:val="14"/>
                <w:szCs w:val="14"/>
                <w:color w:val="auto"/>
              </w:rPr>
              <w:t>Total consideration transferred</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1,087,214</w:t>
            </w:r>
          </w:p>
        </w:tc>
      </w:tr>
      <w:tr>
        <w:trPr>
          <w:trHeight w:val="20"/>
        </w:trPr>
        <w:tc>
          <w:tcPr>
            <w:tcW w:w="6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has valued accounts receivables based on the estimated future collectability of the receivables portfolio.</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Inventories are stated at fair value as of the Merger Date.</w:t>
      </w:r>
    </w:p>
    <w:p>
      <w:pPr>
        <w:spacing w:after="0" w:line="9" w:lineRule="exact"/>
        <w:rPr>
          <w:rFonts w:ascii="Arial" w:cs="Arial" w:eastAsia="Arial" w:hAnsi="Arial"/>
          <w:sz w:val="18"/>
          <w:szCs w:val="18"/>
          <w:color w:val="auto"/>
        </w:rPr>
      </w:pPr>
    </w:p>
    <w:p>
      <w:pPr>
        <w:ind w:left="740" w:right="420" w:hanging="327"/>
        <w:spacing w:after="0" w:line="265"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fair value of the property and equipment was determined based upon the best and highest use of the property with final values determined based upon an analysis of the cost, sales comparison, and income capitalization approaches for each property appraised.</w:t>
      </w:r>
    </w:p>
    <w:p>
      <w:pPr>
        <w:ind w:left="740" w:hanging="327"/>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allocation of consideration exchanged to intangible assets acquired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right"/>
              <w:ind w:right="108"/>
              <w:spacing w:after="0"/>
              <w:rPr>
                <w:sz w:val="20"/>
                <w:szCs w:val="20"/>
                <w:color w:val="auto"/>
              </w:rPr>
            </w:pPr>
            <w:r>
              <w:rPr>
                <w:rFonts w:ascii="Arial" w:cs="Arial" w:eastAsia="Arial" w:hAnsi="Arial"/>
                <w:sz w:val="14"/>
                <w:szCs w:val="14"/>
                <w:b w:val="1"/>
                <w:bCs w:val="1"/>
                <w:color w:val="auto"/>
                <w:w w:val="99"/>
              </w:rPr>
              <w:t>Weighted Average Estimated</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Life (in years)</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Trademarks/Names</w:t>
            </w: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12,536</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5280" w:type="dxa"/>
            <w:vAlign w:val="bottom"/>
          </w:tcPr>
          <w:p>
            <w:pPr>
              <w:ind w:left="40"/>
              <w:spacing w:after="0"/>
              <w:rPr>
                <w:sz w:val="20"/>
                <w:szCs w:val="20"/>
                <w:color w:val="auto"/>
              </w:rPr>
            </w:pPr>
            <w:r>
              <w:rPr>
                <w:rFonts w:ascii="Arial" w:cs="Arial" w:eastAsia="Arial" w:hAnsi="Arial"/>
                <w:sz w:val="14"/>
                <w:szCs w:val="14"/>
                <w:color w:val="auto"/>
              </w:rPr>
              <w:t>Patient referral sources</w:t>
            </w:r>
          </w:p>
        </w:tc>
        <w:tc>
          <w:tcPr>
            <w:tcW w:w="146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180,329</w:t>
            </w:r>
          </w:p>
        </w:tc>
        <w:tc>
          <w:tcPr>
            <w:tcW w:w="22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Licenses</w:t>
            </w:r>
          </w:p>
        </w:tc>
        <w:tc>
          <w:tcPr>
            <w:tcW w:w="14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380</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4"/>
                <w:szCs w:val="14"/>
                <w:color w:val="auto"/>
              </w:rPr>
              <w:t>Total intangible assets, net</w:t>
            </w:r>
          </w:p>
        </w:tc>
        <w:tc>
          <w:tcPr>
            <w:tcW w:w="146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193,245</w:t>
            </w:r>
          </w:p>
        </w:tc>
        <w:tc>
          <w:tcPr>
            <w:tcW w:w="222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60"/>
        <w:spacing w:after="0" w:line="258" w:lineRule="auto"/>
        <w:rPr>
          <w:sz w:val="20"/>
          <w:szCs w:val="20"/>
          <w:color w:val="auto"/>
        </w:rPr>
      </w:pPr>
      <w:r>
        <w:rPr>
          <w:rFonts w:ascii="Arial" w:cs="Arial" w:eastAsia="Arial" w:hAnsi="Arial"/>
          <w:sz w:val="18"/>
          <w:szCs w:val="18"/>
          <w:color w:val="auto"/>
        </w:rPr>
        <w:t>The Company valued trademarks/names utilizing the relief of royalty method and patient referral sources utilizing the multi-period excess earnings method, a form of the income approach.</w:t>
      </w:r>
    </w:p>
    <w:p>
      <w:pPr>
        <w:spacing w:after="0" w:line="1" w:lineRule="exact"/>
        <w:rPr>
          <w:sz w:val="20"/>
          <w:szCs w:val="20"/>
          <w:color w:val="auto"/>
        </w:rPr>
      </w:pPr>
    </w:p>
    <w:p>
      <w:pPr>
        <w:ind w:left="740" w:hanging="327"/>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Net deferred tax assets represented the expected future tax consequences of temporary differences between the fair values of the assets acquired and liabilities assumed and their tax bases. See Note 6,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discussion of the Company’s combined income tax position subsequent to the Merger.</w:t>
      </w:r>
    </w:p>
    <w:p>
      <w:pPr>
        <w:spacing w:after="0" w:line="1" w:lineRule="exact"/>
        <w:rPr>
          <w:rFonts w:ascii="Arial" w:cs="Arial" w:eastAsia="Arial" w:hAnsi="Arial"/>
          <w:sz w:val="18"/>
          <w:szCs w:val="18"/>
          <w:color w:val="auto"/>
        </w:rPr>
      </w:pPr>
    </w:p>
    <w:p>
      <w:pPr>
        <w:ind w:left="740" w:right="560" w:hanging="327"/>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fair value of the operating lease liability and corresponding right-of-use asset (current and long-term) was based on current market rates available to the Company.</w:t>
      </w: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payable as well as certain other current and non-current assets and liabilities are stated at fair value as of the Merger Date.</w:t>
      </w:r>
    </w:p>
    <w:p>
      <w:pPr>
        <w:spacing w:after="0" w:line="9" w:lineRule="exact"/>
        <w:rPr>
          <w:rFonts w:ascii="Arial" w:cs="Arial" w:eastAsia="Arial" w:hAnsi="Arial"/>
          <w:sz w:val="18"/>
          <w:szCs w:val="18"/>
          <w:color w:val="auto"/>
        </w:rPr>
      </w:pPr>
    </w:p>
    <w:p>
      <w:pPr>
        <w:ind w:left="740" w:right="60" w:hanging="327"/>
        <w:spacing w:after="0" w:line="255"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Merger preliminarily resulted in $793.1 million of goodwill, which is attributable to cost synergies resulting from procurement and operational efficiencies and elimination of duplicative administrative costs. The goodwill created in the Merger is not expected to be deductible for tax purposes.</w:t>
      </w:r>
    </w:p>
    <w:p>
      <w:pPr>
        <w:spacing w:after="0" w:line="19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Assuming BioScrip had been acquired as of January 1, 2018, and the results of BioScrip had been included in operations beginning on January 1, 2018, the following tables provide estimated unaudited pro forma results of operations for the years ended December 31, 2019 and 2018 (in thousands). The estimated pro forma net income adjusts for the effect of fair value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adjustments related to the Merger, transaction costs and other non-recurring costs directly attributable to the Merger and the impact of the additional debt to finance the Merger.</w:t>
      </w:r>
    </w:p>
    <w:p>
      <w:pPr>
        <w:spacing w:after="0" w:line="392" w:lineRule="exact"/>
        <w:rPr>
          <w:sz w:val="20"/>
          <w:szCs w:val="20"/>
          <w:color w:val="auto"/>
        </w:rPr>
      </w:pPr>
    </w:p>
    <w:tbl>
      <w:tblPr>
        <w:tblLayout w:type="fixed"/>
        <w:tblInd w:w="200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16"/>
                <w:szCs w:val="16"/>
                <w:color w:val="auto"/>
              </w:rPr>
            </w:pPr>
          </w:p>
        </w:tc>
      </w:tr>
      <w:tr>
        <w:trPr>
          <w:trHeight w:val="264"/>
        </w:trPr>
        <w:tc>
          <w:tcPr>
            <w:tcW w:w="358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3580" w:type="dxa"/>
            <w:vAlign w:val="bottom"/>
          </w:tcPr>
          <w:p>
            <w:pPr>
              <w:ind w:left="20"/>
              <w:spacing w:after="0"/>
              <w:rPr>
                <w:sz w:val="20"/>
                <w:szCs w:val="20"/>
                <w:color w:val="auto"/>
              </w:rPr>
            </w:pPr>
            <w:r>
              <w:rPr>
                <w:rFonts w:ascii="Arial" w:cs="Arial" w:eastAsia="Arial" w:hAnsi="Arial"/>
                <w:sz w:val="14"/>
                <w:szCs w:val="14"/>
                <w:color w:val="auto"/>
              </w:rPr>
              <w:t>Net revenue</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2,755,361</w:t>
            </w:r>
          </w:p>
        </w:tc>
        <w:tc>
          <w:tcPr>
            <w:tcW w:w="12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2,648,694</w:t>
            </w:r>
          </w:p>
        </w:tc>
      </w:tr>
      <w:tr>
        <w:trPr>
          <w:trHeight w:val="276"/>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(70,932)</w:t>
            </w: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Estimated unaudited pro forma information is not necessarily indicative of the results that actually would have occurred had the Merger been completed on the date indicated or the future operating results.</w:t>
      </w:r>
    </w:p>
    <w:p>
      <w:pPr>
        <w:spacing w:after="0" w:line="17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the periods subsequent to the Merger Date that are included in the results of operations for the years ended December 31, 2019, BioScrip had net revenue of $308.9 million and a net loss of $30.1 million.</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Acquisition-related costs were expensed as incurred, with the exception of BioScrip success-based fees that are included in consideration transferred. The Company recorded transaction costs that are expensed in selling, general and administrative expenses during the year ended December 31, 2019 of approximately $25.8 million. Transaction expenses consisted of professional fees for advisory, consulting and underwriting services as well as other incremental costs directly related to the acquisition.</w:t>
      </w:r>
    </w:p>
    <w:p>
      <w:pPr>
        <w:spacing w:after="0" w:line="183"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 xml:space="preserve">Baptist Health Asset Acquisition </w:t>
      </w:r>
      <w:r>
        <w:rPr>
          <w:rFonts w:ascii="Arial" w:cs="Arial" w:eastAsia="Arial" w:hAnsi="Arial"/>
          <w:sz w:val="18"/>
          <w:szCs w:val="18"/>
          <w:color w:val="auto"/>
        </w:rPr>
        <w:t>— In August 2018, pursuant to the Purchase and Sale Agreement dated August 8, 2018, Option Care completed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certain assets of Baptist Health in Little Rock, Arkansas for a purchase price of $1.0 million.</w:t>
      </w:r>
    </w:p>
    <w:p>
      <w:pPr>
        <w:spacing w:after="0" w:line="162" w:lineRule="exact"/>
        <w:rPr>
          <w:sz w:val="20"/>
          <w:szCs w:val="20"/>
          <w:color w:val="auto"/>
        </w:rPr>
      </w:pPr>
    </w:p>
    <w:p>
      <w:pPr>
        <w:ind w:right="120" w:firstLine="324"/>
        <w:spacing w:after="0" w:line="258" w:lineRule="auto"/>
        <w:rPr>
          <w:sz w:val="20"/>
          <w:szCs w:val="20"/>
          <w:color w:val="auto"/>
        </w:rPr>
      </w:pPr>
      <w:r>
        <w:rPr>
          <w:rFonts w:ascii="Arial" w:cs="Arial" w:eastAsia="Arial" w:hAnsi="Arial"/>
          <w:sz w:val="18"/>
          <w:szCs w:val="18"/>
          <w:b w:val="1"/>
          <w:bCs w:val="1"/>
          <w:color w:val="auto"/>
        </w:rPr>
        <w:t xml:space="preserve">Home I.V. Specialists, Inc. Acquisition </w:t>
      </w:r>
      <w:r>
        <w:rPr>
          <w:rFonts w:ascii="Arial" w:cs="Arial" w:eastAsia="Arial" w:hAnsi="Arial"/>
          <w:sz w:val="18"/>
          <w:szCs w:val="18"/>
          <w:color w:val="auto"/>
        </w:rPr>
        <w:t>— In September 2018, pursuant to the Stock Purchase Agreement dated September 18, 2018, Option Care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the acquisition of 100% of the outstanding shares of Home I.V. Specialists, Inc. (“Home I.V.”) for a purchase price of $11.6 million, net of cash acquired. The total consideration was comprised of cash paid of $9.8 million and a contingent payment of $1.8 million payable one year after the acquisition date. During the year ended December 31, 2019, the Company reduced the contingent liability by $0.3 million. Subsequent to December 31, 2019, it was determined that the contingent payment was not payable.</w:t>
      </w:r>
    </w:p>
    <w:p>
      <w:pPr>
        <w:spacing w:after="0" w:line="184"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Healthy Connections Homecare Services, Inc. Acquisition </w:t>
      </w:r>
      <w:r>
        <w:rPr>
          <w:rFonts w:ascii="Arial" w:cs="Arial" w:eastAsia="Arial" w:hAnsi="Arial"/>
          <w:sz w:val="18"/>
          <w:szCs w:val="18"/>
          <w:color w:val="auto"/>
        </w:rPr>
        <w:t>— In October 2016, pursuant to the Share Purchase Agreement dated September 14, 2016,</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completed the acquisition of 100% of the outstanding shares of Healthy Connections Homecare Services, Inc. (“HCHS”), for a purchase price of $5.2 million, net of cash acquired. The total consideration was comprised of cash paid of $4.2 million and a contingent payment of $1.0 million payable one year after the acquisition date. The contingent payment was determined based on the operations of HCHS. The contingent payment of $1.0 million was paid by the Company during the year ended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 xml:space="preserve">On January 1, 2018,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using the modified retrospective approach applied to those contracts that were not completed as of that date. The Company did not record a cumulative catch-up adjustment, as the timing and measurement of revenue for the Company’s customers is similar to its prior revenue recognition model.</w:t>
      </w:r>
    </w:p>
    <w:p>
      <w:pPr>
        <w:spacing w:after="0" w:line="181"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ASC 606 requires an entity to recognize revenue to depict the transfer of goods or services to customers in an amount that reflects the consideration that it expects to be entitled to in exchange for those goods or services. ASC 606 requires application of a five-step model to determine when to recognize revenue and at what amount. The revenue standard applies to all contracts with customers and revenues are to be recognized when control of the promised goods or services is transferred to the Company’s patients in an amount that reflects consideration expected to be received in exchange for those goods or services.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Adoption of the standard impacted the Company’s results as follows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Prior to ASC 606</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Adjustments for ASC</w:t>
            </w:r>
          </w:p>
        </w:tc>
        <w:tc>
          <w:tcPr>
            <w:tcW w:w="14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Subsequent to ASC</w:t>
            </w:r>
          </w:p>
        </w:tc>
        <w:tc>
          <w:tcPr>
            <w:tcW w:w="0" w:type="dxa"/>
            <w:vAlign w:val="bottom"/>
          </w:tcPr>
          <w:p>
            <w:pPr>
              <w:spacing w:after="0"/>
              <w:rPr>
                <w:sz w:val="1"/>
                <w:szCs w:val="1"/>
                <w:color w:val="auto"/>
              </w:rPr>
            </w:pPr>
          </w:p>
        </w:tc>
      </w:tr>
      <w:tr>
        <w:trPr>
          <w:trHeight w:val="210"/>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b w:val="1"/>
                <w:bCs w:val="1"/>
                <w:color w:val="auto"/>
              </w:rPr>
              <w:t>Adoption</w:t>
            </w:r>
          </w:p>
        </w:tc>
        <w:tc>
          <w:tcPr>
            <w:tcW w:w="520" w:type="dxa"/>
            <w:vAlign w:val="bottom"/>
          </w:tcPr>
          <w:p>
            <w:pPr>
              <w:spacing w:after="0"/>
              <w:rPr>
                <w:sz w:val="18"/>
                <w:szCs w:val="18"/>
                <w:color w:val="auto"/>
              </w:rPr>
            </w:pPr>
          </w:p>
        </w:tc>
        <w:tc>
          <w:tcPr>
            <w:tcW w:w="1280" w:type="dxa"/>
            <w:vAlign w:val="bottom"/>
          </w:tcPr>
          <w:p>
            <w:pPr>
              <w:jc w:val="center"/>
              <w:ind w:right="399"/>
              <w:spacing w:after="0"/>
              <w:rPr>
                <w:sz w:val="20"/>
                <w:szCs w:val="20"/>
                <w:color w:val="auto"/>
              </w:rPr>
            </w:pPr>
            <w:r>
              <w:rPr>
                <w:rFonts w:ascii="Arial" w:cs="Arial" w:eastAsia="Arial" w:hAnsi="Arial"/>
                <w:sz w:val="16"/>
                <w:szCs w:val="16"/>
                <w:b w:val="1"/>
                <w:bCs w:val="1"/>
                <w:color w:val="auto"/>
                <w:w w:val="89"/>
              </w:rPr>
              <w:t>606</w:t>
            </w:r>
          </w:p>
        </w:tc>
        <w:tc>
          <w:tcPr>
            <w:tcW w:w="14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b w:val="1"/>
                <w:bCs w:val="1"/>
                <w:color w:val="auto"/>
              </w:rPr>
              <w:t>606 Adoption</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 2019</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Balance Sheets</w:t>
            </w: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4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324,416</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324,416</w:t>
            </w:r>
          </w:p>
        </w:tc>
        <w:tc>
          <w:tcPr>
            <w:tcW w:w="0" w:type="dxa"/>
            <w:vAlign w:val="bottom"/>
          </w:tcPr>
          <w:p>
            <w:pPr>
              <w:spacing w:after="0"/>
              <w:rPr>
                <w:sz w:val="1"/>
                <w:szCs w:val="1"/>
                <w:color w:val="auto"/>
              </w:rPr>
            </w:pPr>
          </w:p>
        </w:tc>
      </w:tr>
      <w:tr>
        <w:trPr>
          <w:trHeight w:val="521"/>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auto"/>
                <w:w w:val="91"/>
              </w:rPr>
              <w:t>Year Ended December 31, 2019</w:t>
            </w:r>
          </w:p>
        </w:tc>
        <w:tc>
          <w:tcPr>
            <w:tcW w:w="0" w:type="dxa"/>
            <w:vAlign w:val="bottom"/>
          </w:tcPr>
          <w:p>
            <w:pPr>
              <w:spacing w:after="0"/>
              <w:rPr>
                <w:sz w:val="1"/>
                <w:szCs w:val="1"/>
                <w:color w:val="auto"/>
              </w:rPr>
            </w:pPr>
          </w:p>
        </w:tc>
      </w:tr>
      <w:tr>
        <w:trPr>
          <w:trHeight w:val="47"/>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Statement of Comprehensive Income (Loss)</w:t>
            </w: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2,382,058</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(71,641)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2,310,417</w:t>
            </w: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doubtful accounts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(71,641)</w:t>
            </w:r>
          </w:p>
        </w:tc>
        <w:tc>
          <w:tcPr>
            <w:tcW w:w="52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71,641</w:t>
            </w:r>
          </w:p>
        </w:tc>
        <w:tc>
          <w:tcPr>
            <w:tcW w:w="1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cash flows: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82,285</w:t>
            </w:r>
          </w:p>
        </w:tc>
        <w:tc>
          <w:tcPr>
            <w:tcW w:w="52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82,285</w:t>
            </w:r>
          </w:p>
        </w:tc>
        <w:tc>
          <w:tcPr>
            <w:tcW w:w="0" w:type="dxa"/>
            <w:vAlign w:val="bottom"/>
          </w:tcPr>
          <w:p>
            <w:pPr>
              <w:spacing w:after="0"/>
              <w:rPr>
                <w:sz w:val="1"/>
                <w:szCs w:val="1"/>
                <w:color w:val="auto"/>
              </w:rPr>
            </w:pPr>
          </w:p>
        </w:tc>
      </w:tr>
      <w:tr>
        <w:trPr>
          <w:trHeight w:val="567"/>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 2018</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Balance Sheets</w:t>
            </w: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4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310,169</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310,169</w:t>
            </w:r>
          </w:p>
        </w:tc>
        <w:tc>
          <w:tcPr>
            <w:tcW w:w="0" w:type="dxa"/>
            <w:vAlign w:val="bottom"/>
          </w:tcPr>
          <w:p>
            <w:pPr>
              <w:spacing w:after="0"/>
              <w:rPr>
                <w:sz w:val="1"/>
                <w:szCs w:val="1"/>
                <w:color w:val="auto"/>
              </w:rPr>
            </w:pPr>
          </w:p>
        </w:tc>
      </w:tr>
      <w:tr>
        <w:trPr>
          <w:trHeight w:val="521"/>
        </w:trPr>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40" w:type="dxa"/>
            <w:vAlign w:val="bottom"/>
            <w:gridSpan w:val="5"/>
          </w:tcPr>
          <w:p>
            <w:pPr>
              <w:jc w:val="center"/>
              <w:ind w:right="59"/>
              <w:spacing w:after="0"/>
              <w:rPr>
                <w:sz w:val="20"/>
                <w:szCs w:val="20"/>
                <w:color w:val="auto"/>
              </w:rPr>
            </w:pPr>
            <w:r>
              <w:rPr>
                <w:rFonts w:ascii="Arial" w:cs="Arial" w:eastAsia="Arial" w:hAnsi="Arial"/>
                <w:sz w:val="16"/>
                <w:szCs w:val="16"/>
                <w:b w:val="1"/>
                <w:bCs w:val="1"/>
                <w:color w:val="auto"/>
                <w:w w:val="92"/>
              </w:rPr>
              <w:t>Year Ended December 31, 2018</w:t>
            </w:r>
          </w:p>
        </w:tc>
        <w:tc>
          <w:tcPr>
            <w:tcW w:w="0" w:type="dxa"/>
            <w:vAlign w:val="bottom"/>
          </w:tcPr>
          <w:p>
            <w:pPr>
              <w:spacing w:after="0"/>
              <w:rPr>
                <w:sz w:val="1"/>
                <w:szCs w:val="1"/>
                <w:color w:val="auto"/>
              </w:rPr>
            </w:pPr>
          </w:p>
        </w:tc>
      </w:tr>
      <w:tr>
        <w:trPr>
          <w:trHeight w:val="47"/>
        </w:trPr>
        <w:tc>
          <w:tcPr>
            <w:tcW w:w="64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Consolidated Statement of Comprehensive Income (Loss)</w:t>
            </w:r>
          </w:p>
        </w:tc>
        <w:tc>
          <w:tcPr>
            <w:tcW w:w="1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2,001,132</w:t>
            </w:r>
          </w:p>
        </w:tc>
        <w:tc>
          <w:tcPr>
            <w:tcW w:w="5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(61,341)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1,939,791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doubtful accounts</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(61,341)</w:t>
            </w:r>
          </w:p>
        </w:tc>
        <w:tc>
          <w:tcPr>
            <w:tcW w:w="52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61,341</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38,269</w:t>
            </w: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38,269</w:t>
            </w:r>
          </w:p>
        </w:tc>
        <w:tc>
          <w:tcPr>
            <w:tcW w:w="0" w:type="dxa"/>
            <w:vAlign w:val="bottom"/>
          </w:tcPr>
          <w:p>
            <w:pPr>
              <w:spacing w:after="0"/>
              <w:rPr>
                <w:sz w:val="1"/>
                <w:szCs w:val="1"/>
                <w:color w:val="auto"/>
              </w:rPr>
            </w:pP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cash flows: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(21,012)</w:t>
            </w:r>
          </w:p>
        </w:tc>
        <w:tc>
          <w:tcPr>
            <w:tcW w:w="520" w:type="dxa"/>
            <w:vAlign w:val="bottom"/>
          </w:tcPr>
          <w:p>
            <w:pPr>
              <w:spacing w:after="0"/>
              <w:rPr>
                <w:sz w:val="20"/>
                <w:szCs w:val="20"/>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(21,012)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allowance for doubtful accounts for the years ended December 31, 2019, 2018 and 2017 (in thousands):</w:t>
      </w:r>
    </w:p>
    <w:p>
      <w:pPr>
        <w:spacing w:after="0" w:line="167"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Balance at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Charged to</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Beginning of</w:t>
            </w: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Write-Off of</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Costs and</w:t>
            </w:r>
          </w:p>
        </w:tc>
        <w:tc>
          <w:tcPr>
            <w:tcW w:w="16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Period</w:t>
            </w: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Receivables</w:t>
            </w: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Expenses</w:t>
            </w: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w w:val="95"/>
              </w:rPr>
              <w:t>End of Period</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42,826</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w w:val="94"/>
              </w:rPr>
              <w:t xml:space="preserve">Allowance for doubtful accounts </w:t>
            </w:r>
            <w:r>
              <w:rPr>
                <w:rFonts w:ascii="Arial" w:cs="Arial" w:eastAsia="Arial" w:hAnsi="Arial"/>
                <w:sz w:val="25"/>
                <w:szCs w:val="25"/>
                <w:color w:val="auto"/>
                <w:w w:val="94"/>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w w:val="94"/>
              </w:rPr>
              <w:t xml:space="preserve">Allowance for doubtful accounts </w:t>
            </w:r>
            <w:r>
              <w:rPr>
                <w:rFonts w:ascii="Arial" w:cs="Arial" w:eastAsia="Arial" w:hAnsi="Arial"/>
                <w:sz w:val="25"/>
                <w:szCs w:val="25"/>
                <w:color w:val="auto"/>
                <w:w w:val="94"/>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332"/>
        <w:spacing w:after="0" w:line="277" w:lineRule="auto"/>
        <w:tabs>
          <w:tab w:leader="none" w:pos="57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Subsequent to the adoption of ASC 606, an allowance for doubtful accounts is established only as a result of an adverse change in the Company’s payers’ ability to pay outstanding billings.</w:t>
      </w:r>
    </w:p>
    <w:p>
      <w:pPr>
        <w:spacing w:after="0" w:line="170" w:lineRule="exact"/>
        <w:rPr>
          <w:sz w:val="20"/>
          <w:szCs w:val="20"/>
          <w:color w:val="auto"/>
        </w:rPr>
      </w:pPr>
    </w:p>
    <w:p>
      <w:pPr>
        <w:jc w:val="center"/>
        <w:ind w:right="260"/>
        <w:spacing w:after="0" w:line="528" w:lineRule="auto"/>
        <w:rPr>
          <w:sz w:val="20"/>
          <w:szCs w:val="20"/>
          <w:color w:val="auto"/>
        </w:rPr>
      </w:pPr>
      <w:r>
        <w:rPr>
          <w:rFonts w:ascii="Arial" w:cs="Arial" w:eastAsia="Arial" w:hAnsi="Arial"/>
          <w:sz w:val="18"/>
          <w:szCs w:val="18"/>
          <w:color w:val="auto"/>
        </w:rPr>
        <w:t>The following table sets forth the net revenue earned by category of payer for the years ended December 31, 2019, 2018 and 2017 (in thousands): 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80" w:type="dxa"/>
            <w:vAlign w:val="bottom"/>
            <w:gridSpan w:val="5"/>
          </w:tcPr>
          <w:p>
            <w:pPr>
              <w:jc w:val="right"/>
              <w:ind w:right="79"/>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33"/>
        </w:trPr>
        <w:tc>
          <w:tcPr>
            <w:tcW w:w="5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payers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2,001,105</w:t>
            </w:r>
          </w:p>
        </w:tc>
        <w:tc>
          <w:tcPr>
            <w:tcW w:w="4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1,699,450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1,598,703</w:t>
            </w: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color w:val="auto"/>
              </w:rPr>
              <w:t>Government payers</w:t>
            </w: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285,128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217,876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203,651</w:t>
            </w:r>
          </w:p>
        </w:tc>
      </w:tr>
      <w:tr>
        <w:trPr>
          <w:trHeight w:val="33"/>
        </w:trPr>
        <w:tc>
          <w:tcPr>
            <w:tcW w:w="5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Patients</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25,692</w:t>
            </w:r>
          </w:p>
        </w:tc>
      </w:tr>
      <w:tr>
        <w:trPr>
          <w:trHeight w:val="244"/>
        </w:trPr>
        <w:tc>
          <w:tcPr>
            <w:tcW w:w="586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2,310,417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1,939,791</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1,828,046</w:t>
            </w: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maintains a 401(k) plan and matches 100% of employee contributions, up to 4% of employee compensation. The Company recorded expense for the defined contribution plan of $6.4 million, $6.3 million and $6.6 million for the years ended December 31, 2019, 2018 and 2017, respectively. In the years ended December 31, 2019, 2018 and 2017, Company contributions of $6.6 million, $6.3 million and $14.4 million, respectively, were paid.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benefit consists of the following for the years ended December 31, 2019, 2018 and 2017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(benefit) expense: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(21,944)</w:t>
            </w:r>
          </w:p>
        </w:tc>
      </w:tr>
      <w:tr>
        <w:trPr>
          <w:trHeight w:val="237"/>
        </w:trPr>
        <w:tc>
          <w:tcPr>
            <w:tcW w:w="4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(21,944)</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(benefit) expense: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1,244</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w:t>
            </w:r>
          </w:p>
        </w:tc>
      </w:tr>
      <w:tr>
        <w:trPr>
          <w:trHeight w:val="237"/>
        </w:trPr>
        <w:tc>
          <w:tcPr>
            <w:tcW w:w="4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3,359</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benefit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(18,585)</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difference between the statutory federal income tax rate and the effective tax rate is as follows for the years ended December 31, 2019,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tax rate</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US federal statutory tax rate change</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115.9</w:t>
            </w: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 - net of federal benefit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uncertain tax positions</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(5.6)</w:t>
            </w: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30.3 %</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126.4 %</w:t>
            </w: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35"/>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67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components of deferred income tax assets and liabilities using the 21% U.S. Federal statutory tax rate were as follows as of December 31, 2019 and 2018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Price concessions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12,302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14,879</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Interest limitation carryforward</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3,486</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Net operating losses</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147,749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10,155</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w:t>
            </w:r>
          </w:p>
        </w:tc>
      </w:tr>
      <w:tr>
        <w:trPr>
          <w:trHeight w:val="237"/>
        </w:trPr>
        <w:tc>
          <w:tcPr>
            <w:tcW w:w="4740" w:type="dxa"/>
            <w:vAlign w:val="bottom"/>
          </w:tcPr>
          <w:p>
            <w:pPr>
              <w:ind w:left="500"/>
              <w:spacing w:after="0"/>
              <w:rPr>
                <w:sz w:val="20"/>
                <w:szCs w:val="20"/>
                <w:color w:val="auto"/>
              </w:rPr>
            </w:pPr>
            <w:r>
              <w:rPr>
                <w:rFonts w:ascii="Arial" w:cs="Arial" w:eastAsia="Arial" w:hAnsi="Arial"/>
                <w:sz w:val="18"/>
                <w:szCs w:val="18"/>
                <w:color w:val="auto"/>
              </w:rPr>
              <w:t>Deferred tax assets before valuation allowance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227,314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35,729</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117,783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34,356</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18"/>
        </w:trPr>
        <w:tc>
          <w:tcPr>
            <w:tcW w:w="47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Accelerated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(9,483)</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Operating lease right-of-use asset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(39,977)</w:t>
            </w: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(14,700)</w:t>
            </w: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(119,926)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(67,837)</w:t>
            </w: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(33,481)</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a result of the Merger, the Company recorded a full valuation allowance against all of its net U.S. federal and state deferred tax assets with the exception of $0.8 million of estimated state net operating losses (“NOL”). The initial recognition of this valuation allowance by the Company was reflected in the opening balance sheet of BioScrip and, to that extent, did not impact the Company’s tax expense (benefit) for the year ended December 31, 2019. The valuation allowance for deferred tax assets as of December 31, 2019 was $109.5 million.</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the positive and negative evidence in determining if the valuation allowance is fairly stated.</w:t>
      </w:r>
    </w:p>
    <w:p>
      <w:pPr>
        <w:spacing w:after="0" w:line="17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is subject to taxation in the United States and various states. As a result of the Merger, BioScrip carried over $461.5 million of federal net operating losses, $491.9 million of state net operating losses, and $85.0 million of interest limitation carryforwards. At December 31, 2019, the Company had $541.0 million of gross federal NOL carryforwards of which $401.2 million are available to offset future taxable income in the United States. These NOL’s will begin to expire in 2026 if not utilized. The remaining gross federal NOL’s of $139.8 million at December 31, 2019 are expected to expire unutilized due to limitations under Internal Revenue Code Section 382. At December 31, 2018, the Company had $38.1 million of gross federal NOL’s. At December 31, 2019 and 2018, the Company had $156.6 million and $13.6 million of interest limitation carryforwards. At December 31, 2019 and 2018, the Company also had $601.9 million and $43.5 million of cumulative gross state NOL carryforwards available to offset future taxable income in various states.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and 2018, the unrecognized tax benefits for uncertain tax positions was $0.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valuation allowance for deferred tax assets for the years ended December 31, 2019, 2018 and 2017 (in thousands):</w:t>
      </w:r>
    </w:p>
    <w:p>
      <w:pPr>
        <w:spacing w:after="0" w:line="194"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3"/>
          </w:tcPr>
          <w:p>
            <w:pPr>
              <w:jc w:val="right"/>
              <w:ind w:right="77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2"/>
        </w:trPr>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6"/>
              </w:rPr>
              <w:t>Charged</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9"/>
              </w:rPr>
              <w:t>Balance at</w:t>
            </w:r>
          </w:p>
        </w:tc>
        <w:tc>
          <w:tcPr>
            <w:tcW w:w="14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95"/>
              </w:rPr>
              <w:t>(Benefit) to</w:t>
            </w:r>
          </w:p>
        </w:tc>
        <w:tc>
          <w:tcPr>
            <w:tcW w:w="2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7"/>
              </w:rPr>
              <w:t>Charged to</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5"/>
              </w:rPr>
              <w:t>Beginning of</w:t>
            </w:r>
          </w:p>
        </w:tc>
        <w:tc>
          <w:tcPr>
            <w:tcW w:w="14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Costs and</w:t>
            </w:r>
          </w:p>
        </w:tc>
        <w:tc>
          <w:tcPr>
            <w:tcW w:w="2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w w:val="90"/>
              </w:rPr>
              <w:t>Balance at End</w:t>
            </w:r>
          </w:p>
        </w:tc>
      </w:tr>
      <w:tr>
        <w:trPr>
          <w:trHeight w:val="230"/>
        </w:trPr>
        <w:tc>
          <w:tcPr>
            <w:tcW w:w="368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16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2"/>
              </w:rPr>
              <w:t>Period</w:t>
            </w:r>
          </w:p>
        </w:tc>
        <w:tc>
          <w:tcPr>
            <w:tcW w:w="14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5"/>
              </w:rPr>
              <w:t>Expenses</w:t>
            </w:r>
          </w:p>
        </w:tc>
        <w:tc>
          <w:tcPr>
            <w:tcW w:w="2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1"/>
              </w:rPr>
              <w:t>Accounts</w:t>
            </w:r>
          </w:p>
        </w:tc>
        <w:tc>
          <w:tcPr>
            <w:tcW w:w="34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Period</w:t>
            </w:r>
          </w:p>
        </w:tc>
      </w:tr>
      <w:tr>
        <w:trPr>
          <w:trHeight w:val="27"/>
        </w:trPr>
        <w:tc>
          <w:tcPr>
            <w:tcW w:w="3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29"/>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2017: Valuation allowance for deferred tax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2018: Valuation allowance for deferred tax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43"/>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2019: Valuation allowance for deferred tax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92,763</w:t>
            </w: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109,531</w:t>
            </w:r>
          </w:p>
        </w:tc>
      </w:tr>
      <w:tr>
        <w:trPr>
          <w:trHeight w:val="27"/>
        </w:trPr>
        <w:tc>
          <w:tcPr>
            <w:tcW w:w="3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Currently, the Company is not subject to any U.S. Federal income tax audits. The Company is subject to various state tax audits, and believes that the outcome of these audits will not have a material impact on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EARNINGS PER SHARE</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presents basic and diluted (loss) earnings per share for its common stock. Basic (loss) earnings per share is calculated by dividing the net (loss) income of the Company by the weighted average number of shares of common stock outstanding during the period. Diluted (loss) earnings per share is determined by adjusting the profit or loss and the weighted average number of shares of common stock outstanding for the effects of all dilutive potential common shares.</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As a result of the Merger, all historical per share data and number of shares and equity awards were retroactively adjusted. The (loss) earnings is used as the basis of determining whether the inclusion of common stock equivalents would be anti-dilutive. Accordingly, the computation of diluted shares for the year ended December 31, 2019 excludes the effect of shares that would be issued in connection with warrants, stock options and restricted stock awards, as their inclusion would be anti-dilutive to the loss per share. As of December 31, 2019 there were 2,328,120 warrants, 644,975 stock options and 231,562 restricted stock awards outstanding that were excluded from the calculation as they would be anti-dilutive. There are no dilutive potential common shares for the years ended December 31, 2018 or 2017.</w:t>
      </w:r>
    </w:p>
    <w:p>
      <w:pPr>
        <w:spacing w:after="0" w:line="19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In conjunction with the one share for four share reverse stock split discussed in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all historical per share data and number of shares and equity awards were retroactively adjusted.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basic and diluted (loss) earnings per share and shares outstanding (in thousands, except per share data):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Numerator:</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number of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156,280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142,614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142,614</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(Loss) Earnings per Common Share: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earnings per common share, basic and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During the year ended December 31, 2019, the Company incurred operating lease expenses of $25.8 million including short-term lease expenses, which were included as a component of selling, general and administrative expenses in the consolidated statements of comprehensive income (loss). As of December 31, 2019, the weighted-average remaining lease term was 5.3 years and the weighted-average discount rate was 5.40%.</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gridSpan w:val="2"/>
          </w:tcPr>
          <w:p>
            <w:pPr>
              <w:ind w:left="1220"/>
              <w:spacing w:after="0"/>
              <w:rPr>
                <w:sz w:val="20"/>
                <w:szCs w:val="20"/>
                <w:color w:val="auto"/>
              </w:rPr>
            </w:pPr>
            <w:r>
              <w:rPr>
                <w:rFonts w:ascii="Arial" w:cs="Arial" w:eastAsia="Arial" w:hAnsi="Arial"/>
                <w:sz w:val="16"/>
                <w:szCs w:val="16"/>
                <w:b w:val="1"/>
                <w:bCs w:val="1"/>
                <w:color w:val="auto"/>
              </w:rPr>
              <w:t>Year Ending December 31</w:t>
            </w:r>
          </w:p>
        </w:tc>
        <w:tc>
          <w:tcPr>
            <w:tcW w:w="280" w:type="dxa"/>
            <w:vAlign w:val="bottom"/>
          </w:tcPr>
          <w:p>
            <w:pPr>
              <w:spacing w:after="0"/>
              <w:rPr>
                <w:sz w:val="18"/>
                <w:szCs w:val="18"/>
                <w:color w:val="auto"/>
              </w:rPr>
            </w:pPr>
          </w:p>
        </w:tc>
        <w:tc>
          <w:tcPr>
            <w:tcW w:w="2020" w:type="dxa"/>
            <w:vAlign w:val="bottom"/>
          </w:tcPr>
          <w:p>
            <w:pPr>
              <w:jc w:val="right"/>
              <w:ind w:right="359"/>
              <w:spacing w:after="0"/>
              <w:rPr>
                <w:sz w:val="20"/>
                <w:szCs w:val="20"/>
                <w:color w:val="auto"/>
              </w:rPr>
            </w:pPr>
            <w:r>
              <w:rPr>
                <w:rFonts w:ascii="Arial" w:cs="Arial" w:eastAsia="Arial" w:hAnsi="Arial"/>
                <w:sz w:val="16"/>
                <w:szCs w:val="16"/>
                <w:b w:val="1"/>
                <w:bCs w:val="1"/>
                <w:color w:val="auto"/>
              </w:rPr>
              <w:t>Minimum Payments</w:t>
            </w:r>
          </w:p>
        </w:tc>
      </w:tr>
      <w:tr>
        <w:trPr>
          <w:trHeight w:val="33"/>
        </w:trPr>
        <w:tc>
          <w:tcPr>
            <w:tcW w:w="4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24,983</w:t>
            </w: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19,178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13,982</w:t>
            </w: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7,847</w:t>
            </w: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2025 and beyond</w:t>
            </w:r>
          </w:p>
        </w:tc>
        <w:tc>
          <w:tcPr>
            <w:tcW w:w="2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17,662</w:t>
            </w:r>
          </w:p>
        </w:tc>
      </w:tr>
      <w:tr>
        <w:trPr>
          <w:trHeight w:val="217"/>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Total lease payments</w:t>
            </w:r>
          </w:p>
        </w:tc>
        <w:tc>
          <w:tcPr>
            <w:tcW w:w="2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94,257</w:t>
            </w: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Interest</w:t>
            </w:r>
          </w:p>
        </w:tc>
        <w:tc>
          <w:tcPr>
            <w:tcW w:w="2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(15,624)</w:t>
            </w:r>
          </w:p>
        </w:tc>
      </w:tr>
      <w:tr>
        <w:trPr>
          <w:trHeight w:val="244"/>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Present value of lease liabilities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78,633</w:t>
            </w: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Company had $0.7 million of financing leases outstanding at December 31, 2019 which mature over the next year.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the year ended December 31, 2019, the Company did not enter into any significant new operating or financing leases. As of December 31, 2019, the Company did not have any significant operating or financing leases that had not yet commenced.</w:t>
      </w:r>
    </w:p>
    <w:p>
      <w:pPr>
        <w:spacing w:after="0" w:line="17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 xml:space="preserve">During the years ended December 31, 2018 and 2017, the Company incurred rent expense of $17.3 million, respectively,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which was included as a component of selling, general and administrative expenses in the consolidated statements of comprehensive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December 31, 2019 and 2018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92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20,339</w:t>
            </w: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2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51,454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34,433</w:t>
            </w:r>
          </w:p>
        </w:tc>
      </w:tr>
      <w:tr>
        <w:trPr>
          <w:trHeight w:val="33"/>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61,302</w:t>
            </w: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2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34,884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29,668</w:t>
            </w:r>
          </w:p>
        </w:tc>
      </w:tr>
      <w:tr>
        <w:trPr>
          <w:trHeight w:val="33"/>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5,447</w:t>
            </w:r>
          </w:p>
        </w:tc>
      </w:tr>
      <w:tr>
        <w:trPr>
          <w:trHeight w:val="217"/>
        </w:trPr>
        <w:tc>
          <w:tcPr>
            <w:tcW w:w="46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211,820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151,189</w:t>
            </w:r>
          </w:p>
        </w:tc>
      </w:tr>
      <w:tr>
        <w:trPr>
          <w:trHeight w:val="33"/>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58,047</w:t>
            </w:r>
          </w:p>
        </w:tc>
      </w:tr>
      <w:tr>
        <w:trPr>
          <w:trHeight w:val="244"/>
        </w:trPr>
        <w:tc>
          <w:tcPr>
            <w:tcW w:w="46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133,198</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93,142</w:t>
            </w: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Depreciation expense is recorded within cost of revenue and operating expenses within the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years ended December 31, 2019, 2018 and 2017 (in thousands):</w:t>
      </w:r>
    </w:p>
    <w:p>
      <w:pPr>
        <w:spacing w:after="0" w:line="349"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gridSpan w:val="5"/>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4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48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48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2,993</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r>
      <w:tr>
        <w:trPr>
          <w:trHeight w:val="237"/>
        </w:trPr>
        <w:tc>
          <w:tcPr>
            <w:tcW w:w="4840" w:type="dxa"/>
            <w:vAlign w:val="bottom"/>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27,629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14,868</w:t>
            </w:r>
          </w:p>
        </w:tc>
      </w:tr>
      <w:tr>
        <w:trPr>
          <w:trHeight w:val="33"/>
        </w:trPr>
        <w:tc>
          <w:tcPr>
            <w:tcW w:w="48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31,808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During the year ended December 31, 2018, one company location was destroyed by a hurricane, resulting in a loss of $0.6 million of property and equipment. A business casualty loss was recorded as a component of operating costs and expenses within the consolidated statements of comprehensive income (loss). During the year ended December 31, 2019, $0.6 million in</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122" w:right="31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proceeds were received related to recovery of property and equipment. These proceeds resulted in a gain on business casualty loss of $0.6 million recorded as a component of selling, general, and administrative expenses in the consolidated statements of comprehensive income (loss) during the year ended December 31, 2019. These proceeds were reflected as a component of cash flows from investing activities in the consolidated statement of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Goodwill is not amortized, but is evaluated for impairment annually in the fourth quarter of the fiscal year, or more frequently if an event occurs or circumstances change that would more likely than not reduce the fair value of a reporting unit below its carrying value.</w:t>
      </w:r>
    </w:p>
    <w:p>
      <w:pPr>
        <w:spacing w:after="0" w:line="11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33"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A qualitative impairment analysis was performed in the fourth quarter of 2019 to assess whether it is more likely than not that the fair value of the Company’s reporting unit is less than its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2019.</w:t>
      </w:r>
    </w:p>
    <w:p>
      <w:pPr>
        <w:spacing w:after="0" w:line="13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quantitative impairment analysis was performed in the fourth quarter of 2018 and 2017, and the Company estimated the fair value of its reporting unit using an income approach. The income approach requires management to estimate a number of factors for its reporting unit, including projected future operating results, economic projections, anticipated future cash flows, and discount rates. The fair value determined using the income approach was then compared to marketplace fair value data from within a comparable industry grouping for reasonableness. The Company determined that there was no goodwill impairment in 2018 or 2017.</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determination of fair value and the allocation of that value to individual assets and liabilities within the reporting unit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 the amount of the goodwill impairment charge, or both.</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the carrying amount of goodwill consist of the following activity for the years ended December 31, 2019 and 2018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627,392</w:t>
            </w:r>
          </w:p>
        </w:tc>
      </w:tr>
      <w:tr>
        <w:trPr>
          <w:trHeight w:val="33"/>
        </w:trPr>
        <w:tc>
          <w:tcPr>
            <w:tcW w:w="3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6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5,077</w:t>
            </w:r>
          </w:p>
        </w:tc>
      </w:tr>
      <w:tr>
        <w:trPr>
          <w:trHeight w:val="217"/>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632,469</w:t>
            </w:r>
          </w:p>
        </w:tc>
      </w:tr>
      <w:tr>
        <w:trPr>
          <w:trHeight w:val="33"/>
        </w:trPr>
        <w:tc>
          <w:tcPr>
            <w:tcW w:w="3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6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793,073</w:t>
            </w:r>
          </w:p>
        </w:tc>
      </w:tr>
      <w:tr>
        <w:trPr>
          <w:trHeight w:val="257"/>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1,425,542</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change in the carrying amount of goodwill for the year ended December 31,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carrying amount and accumulated amortization of intangible assets consists of the following as of December 31, 2019 and 2018 (in thousands):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22" w:right="29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Pr>
          <w:p>
            <w:pPr>
              <w:spacing w:after="0"/>
              <w:rPr>
                <w:sz w:val="18"/>
                <w:szCs w:val="18"/>
                <w:color w:val="auto"/>
              </w:rPr>
            </w:pPr>
          </w:p>
        </w:tc>
        <w:tc>
          <w:tcPr>
            <w:tcW w:w="18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December 31, 2018</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40"/>
              <w:spacing w:after="0"/>
              <w:rPr>
                <w:sz w:val="20"/>
                <w:szCs w:val="20"/>
                <w:color w:val="auto"/>
              </w:rPr>
            </w:pPr>
            <w:r>
              <w:rPr>
                <w:rFonts w:ascii="Arial" w:cs="Arial" w:eastAsia="Arial" w:hAnsi="Arial"/>
                <w:sz w:val="16"/>
                <w:szCs w:val="16"/>
                <w:color w:val="auto"/>
              </w:rPr>
              <w:t>Gross intangible assets:</w:t>
            </w: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Referral sources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257,792</w:t>
            </w:r>
          </w:p>
        </w:tc>
        <w:tc>
          <w:tcPr>
            <w:tcW w:w="0" w:type="dxa"/>
            <w:vAlign w:val="bottom"/>
          </w:tcPr>
          <w:p>
            <w:pPr>
              <w:spacing w:after="0"/>
              <w:rPr>
                <w:sz w:val="1"/>
                <w:szCs w:val="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6"/>
                <w:szCs w:val="16"/>
                <w:color w:val="auto"/>
              </w:rPr>
              <w:t>Trademarks/names</w:t>
            </w: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44,536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32,000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amortizable intangible assets</w:t>
            </w: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0" w:type="dxa"/>
            <w:vAlign w:val="bottom"/>
          </w:tcPr>
          <w:p>
            <w:pPr>
              <w:spacing w:after="0"/>
              <w:rPr>
                <w:sz w:val="1"/>
                <w:szCs w:val="1"/>
                <w:color w:val="auto"/>
              </w:rPr>
            </w:pPr>
          </w:p>
        </w:tc>
      </w:tr>
      <w:tr>
        <w:trPr>
          <w:trHeight w:val="217"/>
        </w:trPr>
        <w:tc>
          <w:tcPr>
            <w:tcW w:w="4100" w:type="dxa"/>
            <w:vAlign w:val="bottom"/>
          </w:tcPr>
          <w:p>
            <w:pPr>
              <w:ind w:left="280"/>
              <w:spacing w:after="0"/>
              <w:rPr>
                <w:sz w:val="20"/>
                <w:szCs w:val="20"/>
                <w:color w:val="auto"/>
              </w:rPr>
            </w:pPr>
            <w:r>
              <w:rPr>
                <w:rFonts w:ascii="Arial" w:cs="Arial" w:eastAsia="Arial" w:hAnsi="Arial"/>
                <w:sz w:val="16"/>
                <w:szCs w:val="16"/>
                <w:color w:val="auto"/>
              </w:rPr>
              <w:t>Total gross intangible assets</w:t>
            </w: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483,059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293,943</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Referral sources</w:t>
            </w:r>
          </w:p>
        </w:tc>
        <w:tc>
          <w:tcPr>
            <w:tcW w:w="2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(63,353)</w:t>
            </w:r>
          </w:p>
        </w:tc>
        <w:tc>
          <w:tcPr>
            <w:tcW w:w="0" w:type="dxa"/>
            <w:vAlign w:val="bottom"/>
          </w:tcPr>
          <w:p>
            <w:pPr>
              <w:spacing w:after="0"/>
              <w:rPr>
                <w:sz w:val="1"/>
                <w:szCs w:val="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6"/>
                <w:szCs w:val="16"/>
                <w:color w:val="auto"/>
              </w:rPr>
              <w:t>Trademarks/names</w:t>
            </w:r>
          </w:p>
        </w:tc>
        <w:tc>
          <w:tcPr>
            <w:tcW w:w="2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(12,748)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amortizable intangible assets</w:t>
            </w:r>
          </w:p>
        </w:tc>
        <w:tc>
          <w:tcPr>
            <w:tcW w:w="2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17"/>
        </w:trPr>
        <w:tc>
          <w:tcPr>
            <w:tcW w:w="4100" w:type="dxa"/>
            <w:vAlign w:val="bottom"/>
          </w:tcPr>
          <w:p>
            <w:pPr>
              <w:ind w:left="280"/>
              <w:spacing w:after="0"/>
              <w:rPr>
                <w:sz w:val="20"/>
                <w:szCs w:val="20"/>
                <w:color w:val="auto"/>
              </w:rPr>
            </w:pPr>
            <w:r>
              <w:rPr>
                <w:rFonts w:ascii="Arial" w:cs="Arial" w:eastAsia="Arial" w:hAnsi="Arial"/>
                <w:sz w:val="16"/>
                <w:szCs w:val="16"/>
                <w:color w:val="auto"/>
              </w:rPr>
              <w:t>Total accumulated amortization</w:t>
            </w:r>
          </w:p>
        </w:tc>
        <w:tc>
          <w:tcPr>
            <w:tcW w:w="2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(97,149)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(74,230)</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219,713</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Amortization expense for intangible assets was $26.1 million, $19.6 million and $19.8 million for the years ended December 31, 2019, 2018 and 2017,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future amortization expense for intangible assets recorded at December 31, 2019, is as follows (in thousands):</w:t>
      </w:r>
    </w:p>
    <w:p>
      <w:pPr>
        <w:spacing w:after="0" w:line="375" w:lineRule="exact"/>
        <w:rPr>
          <w:sz w:val="20"/>
          <w:szCs w:val="20"/>
          <w:color w:val="auto"/>
        </w:rPr>
      </w:pPr>
    </w:p>
    <w:tbl>
      <w:tblPr>
        <w:tblLayout w:type="fixed"/>
        <w:tblInd w:w="3000" w:type="dxa"/>
        <w:tblCellMar>
          <w:top w:w="0" w:type="dxa"/>
          <w:left w:w="0" w:type="dxa"/>
          <w:bottom w:w="0" w:type="dxa"/>
          <w:right w:w="0" w:type="dxa"/>
        </w:tblCellMar>
      </w:tblP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34,859</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32,015</w:t>
            </w:r>
          </w:p>
        </w:tc>
      </w:tr>
      <w:tr>
        <w:trPr>
          <w:trHeight w:val="27"/>
        </w:trPr>
        <w:tc>
          <w:tcPr>
            <w:tcW w:w="3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28,338</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28,338</w:t>
            </w:r>
          </w:p>
        </w:tc>
      </w:tr>
      <w:tr>
        <w:trPr>
          <w:trHeight w:val="27"/>
        </w:trPr>
        <w:tc>
          <w:tcPr>
            <w:tcW w:w="3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28,338</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2025 and beyond</w:t>
            </w:r>
          </w:p>
        </w:tc>
        <w:tc>
          <w:tcPr>
            <w:tcW w:w="6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234,022</w:t>
            </w:r>
          </w:p>
        </w:tc>
      </w:tr>
      <w:tr>
        <w:trPr>
          <w:trHeight w:val="27"/>
        </w:trPr>
        <w:tc>
          <w:tcPr>
            <w:tcW w:w="36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385,910</w:t>
            </w:r>
          </w:p>
        </w:tc>
      </w:tr>
      <w:tr>
        <w:trPr>
          <w:trHeight w:val="20"/>
        </w:trPr>
        <w:tc>
          <w:tcPr>
            <w:tcW w:w="3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The weighted average amortization period of intangible assets by class and in total as of December 31, 2019 are as follows: 17.1 years for referral sources, 4.2 years for trademarks/names, 1.5 years for other amortizable intangible assets, and 15.9 years for total intangible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EQUITY-METHOD INVESTMENTS</w:t>
      </w:r>
    </w:p>
    <w:p>
      <w:pPr>
        <w:spacing w:after="0" w:line="18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The Company’s two equity-method investments totaled $17.0 million and $14.6 million as of December 31, 2019 and 2018, respectively, and are included in other noncurrent assets in the accompanying consolidated balance sheets. The Company’s related proportionate share of earnings is recorded in equity in earnings of joint ventures in the accompanying consolidated statements of comprehensive income (loss). For the years ended December 31, 2019, 2018 and 2017, the Company’s proportionate share of earnings in its equity-method investees was $2.8 million, $1.0 million and $2.2 million, respectively.</w:t>
      </w:r>
    </w:p>
    <w:p>
      <w:pPr>
        <w:spacing w:after="0" w:line="150"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Legacy Health Systems </w:t>
      </w:r>
      <w:r>
        <w:rPr>
          <w:rFonts w:ascii="Arial" w:cs="Arial" w:eastAsia="Arial" w:hAnsi="Arial"/>
          <w:sz w:val="18"/>
          <w:szCs w:val="18"/>
          <w:color w:val="auto"/>
        </w:rPr>
        <w:t>— The Company’s 50% ownership interest in this limited liability company, which provides infusion pharmacy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expands the Company’s presence in the Portland, Oregon market. In 2005, Option Care’s initial cash investment in this joint venture was $1.3 million. The Company received a capital distribution from this investment of $0.5 million, $2.0 million and $1.3 million for the years ended December 31, 2019, 2018 and 2017, respectively. The following presents condensed financial information as of December 31, 2019 and December 31, 2018 and for the years ended December 31, 2019, 2018 and 2017 (in thousands):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2" w:right="27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comprehensive income (loss)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3"/>
          </w:tcPr>
          <w:p>
            <w:pPr>
              <w:ind w:left="100"/>
              <w:spacing w:after="0"/>
              <w:rPr>
                <w:sz w:val="20"/>
                <w:szCs w:val="20"/>
                <w:color w:val="auto"/>
              </w:rPr>
            </w:pPr>
            <w:r>
              <w:rPr>
                <w:rFonts w:ascii="Arial" w:cs="Arial" w:eastAsia="Arial" w:hAnsi="Arial"/>
                <w:sz w:val="16"/>
                <w:szCs w:val="16"/>
                <w:b w:val="1"/>
                <w:bCs w:val="1"/>
                <w:color w:val="auto"/>
                <w:w w:val="98"/>
              </w:rPr>
              <w:t>Year Ended December 31,</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5"/>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r>
      <w:tr>
        <w:trPr>
          <w:trHeight w:val="33"/>
        </w:trPr>
        <w:tc>
          <w:tcPr>
            <w:tcW w:w="2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21,037</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21,309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23,295</w:t>
            </w: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15,042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17,069</w:t>
            </w:r>
          </w:p>
        </w:tc>
      </w:tr>
      <w:tr>
        <w:trPr>
          <w:trHeight w:val="33"/>
        </w:trPr>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6,226</w:t>
            </w: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3,278</w:t>
            </w:r>
          </w:p>
        </w:tc>
      </w:tr>
      <w:tr>
        <w:trPr>
          <w:trHeight w:val="33"/>
        </w:trPr>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r>
      <w:tr>
        <w:trPr>
          <w:trHeight w:val="683"/>
        </w:trPr>
        <w:tc>
          <w:tcPr>
            <w:tcW w:w="2540" w:type="dxa"/>
            <w:vAlign w:val="bottom"/>
          </w:tcPr>
          <w:p>
            <w:pPr>
              <w:ind w:left="40"/>
              <w:spacing w:after="0"/>
              <w:rPr>
                <w:sz w:val="20"/>
                <w:szCs w:val="20"/>
                <w:color w:val="auto"/>
              </w:rPr>
            </w:pPr>
            <w:r>
              <w:rPr>
                <w:rFonts w:ascii="Arial" w:cs="Arial" w:eastAsia="Arial" w:hAnsi="Arial"/>
                <w:sz w:val="16"/>
                <w:szCs w:val="16"/>
                <w:color w:val="auto"/>
              </w:rPr>
              <w:t>Consolidated balance sheet data:</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0"/>
        </w:trPr>
        <w:tc>
          <w:tcPr>
            <w:tcW w:w="2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As of December 31,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33"/>
        </w:trPr>
        <w:tc>
          <w:tcPr>
            <w:tcW w:w="2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1"/>
        </w:trPr>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2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7,643</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5,666</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Noncurrent assets</w:t>
            </w:r>
          </w:p>
        </w:tc>
        <w:tc>
          <w:tcPr>
            <w:tcW w:w="3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3,403</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3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23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Vanderbilt Health Services </w:t>
      </w:r>
      <w:r>
        <w:rPr>
          <w:rFonts w:ascii="Arial" w:cs="Arial" w:eastAsia="Arial" w:hAnsi="Arial"/>
          <w:sz w:val="18"/>
          <w:szCs w:val="18"/>
          <w:color w:val="auto"/>
        </w:rPr>
        <w:t>— The Company’s 50% ownership interest in this limited liability company, which provides infusion pharmacy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expands the Company’s presence in the Nashville, Tennessee market. In 2009, Option Care contributed both cash and certain operating assets into the joint venture for a total initial investment of $1.1 million. The following presents condensed financial information as of December 31, 2019 and 2018 and for the years ended December 31, 2019, 2018 and 2017, (in thousands):</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comprehensive income (loss)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gridSpan w:val="4"/>
          </w:tcPr>
          <w:p>
            <w:pPr>
              <w:ind w:left="100"/>
              <w:spacing w:after="0"/>
              <w:rPr>
                <w:sz w:val="20"/>
                <w:szCs w:val="20"/>
                <w:color w:val="auto"/>
              </w:rPr>
            </w:pPr>
            <w:r>
              <w:rPr>
                <w:rFonts w:ascii="Arial" w:cs="Arial" w:eastAsia="Arial" w:hAnsi="Arial"/>
                <w:sz w:val="16"/>
                <w:szCs w:val="16"/>
                <w:b w:val="1"/>
                <w:bCs w:val="1"/>
                <w:color w:val="auto"/>
                <w:w w:val="98"/>
              </w:rPr>
              <w:t>Year Ended December 31,</w:t>
            </w: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ind w:left="820"/>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37"/>
              <w:spacing w:after="0"/>
              <w:rPr>
                <w:sz w:val="20"/>
                <w:szCs w:val="20"/>
                <w:color w:val="auto"/>
              </w:rPr>
            </w:pPr>
            <w:r>
              <w:rPr>
                <w:rFonts w:ascii="Arial" w:cs="Arial" w:eastAsia="Arial" w:hAnsi="Arial"/>
                <w:sz w:val="18"/>
                <w:szCs w:val="18"/>
                <w:b w:val="1"/>
                <w:bCs w:val="1"/>
                <w:color w:val="auto"/>
              </w:rPr>
              <w:t>2017</w:t>
            </w:r>
          </w:p>
        </w:tc>
      </w:tr>
      <w:tr>
        <w:trPr>
          <w:trHeight w:val="27"/>
        </w:trPr>
        <w:tc>
          <w:tcPr>
            <w:tcW w:w="3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80" w:type="dxa"/>
            <w:vAlign w:val="bottom"/>
            <w:tcBorders>
              <w:bottom w:val="single" w:sz="8" w:color="CCEEFF"/>
            </w:tcBorders>
            <w:gridSpan w:val="2"/>
            <w:shd w:val="clear" w:color="auto" w:fill="CCEEFF"/>
          </w:tcPr>
          <w:p>
            <w:pPr>
              <w:jc w:val="right"/>
              <w:ind w:right="11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38,744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98"/>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31,517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27,805</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20,665</w:t>
            </w:r>
          </w:p>
        </w:tc>
      </w:tr>
      <w:tr>
        <w:trPr>
          <w:trHeight w:val="33"/>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7,140</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33"/>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w:t>
            </w:r>
          </w:p>
        </w:tc>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702"/>
        </w:trPr>
        <w:tc>
          <w:tcPr>
            <w:tcW w:w="3240" w:type="dxa"/>
            <w:vAlign w:val="bottom"/>
          </w:tcPr>
          <w:p>
            <w:pPr>
              <w:ind w:left="40"/>
              <w:spacing w:after="0"/>
              <w:rPr>
                <w:sz w:val="20"/>
                <w:szCs w:val="20"/>
                <w:color w:val="auto"/>
              </w:rPr>
            </w:pPr>
            <w:r>
              <w:rPr>
                <w:rFonts w:ascii="Arial" w:cs="Arial" w:eastAsia="Arial" w:hAnsi="Arial"/>
                <w:sz w:val="18"/>
                <w:szCs w:val="18"/>
                <w:color w:val="auto"/>
              </w:rPr>
              <w:t>Consolidated balance sheet data:</w:t>
            </w: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4"/>
        </w:trPr>
        <w:tc>
          <w:tcPr>
            <w:tcW w:w="3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120" w:type="dxa"/>
            <w:vAlign w:val="bottom"/>
            <w:gridSpan w:val="5"/>
          </w:tcPr>
          <w:p>
            <w:pPr>
              <w:jc w:val="right"/>
              <w:ind w:right="598"/>
              <w:spacing w:after="0"/>
              <w:rPr>
                <w:sz w:val="20"/>
                <w:szCs w:val="20"/>
                <w:color w:val="auto"/>
              </w:rPr>
            </w:pPr>
            <w:r>
              <w:rPr>
                <w:rFonts w:ascii="Arial" w:cs="Arial" w:eastAsia="Arial" w:hAnsi="Arial"/>
                <w:sz w:val="16"/>
                <w:szCs w:val="16"/>
                <w:b w:val="1"/>
                <w:bCs w:val="1"/>
                <w:color w:val="auto"/>
                <w:w w:val="95"/>
              </w:rPr>
              <w:t>As of December 31,</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33"/>
        </w:trPr>
        <w:tc>
          <w:tcPr>
            <w:tcW w:w="324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ind w:left="800"/>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32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280" w:type="dxa"/>
            <w:vAlign w:val="bottom"/>
            <w:tcBorders>
              <w:bottom w:val="single" w:sz="8" w:color="CCEEFF"/>
            </w:tcBorders>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Noncurrent assets</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41"/>
        </w:trPr>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jc w:val="right"/>
              <w:ind w:right="758"/>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220"/>
          </w:cols>
          <w:pgMar w:left="240" w:top="122" w:right="4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 Amount</w:t>
            </w: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Discount</w:t>
            </w:r>
          </w:p>
        </w:tc>
        <w:tc>
          <w:tcPr>
            <w:tcW w:w="160" w:type="dxa"/>
            <w:vAlign w:val="bottom"/>
          </w:tcPr>
          <w:p>
            <w:pPr>
              <w:spacing w:after="0"/>
              <w:rPr>
                <w:sz w:val="18"/>
                <w:szCs w:val="18"/>
                <w:color w:val="auto"/>
              </w:rPr>
            </w:pPr>
          </w:p>
        </w:tc>
        <w:tc>
          <w:tcPr>
            <w:tcW w:w="20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w w:val="90"/>
              </w:rPr>
              <w:t>Debt Issuance Costs</w:t>
            </w:r>
          </w:p>
        </w:tc>
        <w:tc>
          <w:tcPr>
            <w:tcW w:w="1520" w:type="dxa"/>
            <w:vAlign w:val="bottom"/>
          </w:tcPr>
          <w:p>
            <w:pPr>
              <w:jc w:val="right"/>
              <w:ind w:right="399"/>
              <w:spacing w:after="0"/>
              <w:rPr>
                <w:sz w:val="20"/>
                <w:szCs w:val="20"/>
                <w:color w:val="auto"/>
              </w:rPr>
            </w:pPr>
            <w:r>
              <w:rPr>
                <w:rFonts w:ascii="Arial" w:cs="Arial" w:eastAsia="Arial" w:hAnsi="Arial"/>
                <w:sz w:val="16"/>
                <w:szCs w:val="16"/>
                <w:b w:val="1"/>
                <w:bCs w:val="1"/>
                <w:color w:val="auto"/>
              </w:rPr>
              <w:t>Net Balance</w:t>
            </w:r>
          </w:p>
        </w:tc>
      </w:tr>
      <w:tr>
        <w:trPr>
          <w:trHeight w:val="33"/>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ABL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925,000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(22,825)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893,776</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Lien Notes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412,256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392,720</w:t>
            </w:r>
          </w:p>
        </w:tc>
      </w:tr>
      <w:tr>
        <w:trPr>
          <w:trHeight w:val="284"/>
        </w:trPr>
        <w:tc>
          <w:tcPr>
            <w:tcW w:w="39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1,337,256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(20,071)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(30,689)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152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1,286,496</w:t>
            </w: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44"/>
        </w:trPr>
        <w:tc>
          <w:tcPr>
            <w:tcW w:w="3900" w:type="dxa"/>
            <w:vAlign w:val="bottom"/>
          </w:tcPr>
          <w:p>
            <w:pPr>
              <w:ind w:left="28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1,277,246</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Principal Amount</w:t>
            </w:r>
          </w:p>
        </w:tc>
        <w:tc>
          <w:tcPr>
            <w:tcW w:w="360" w:type="dxa"/>
            <w:vAlign w:val="bottom"/>
          </w:tcPr>
          <w:p>
            <w:pPr>
              <w:spacing w:after="0"/>
              <w:rPr>
                <w:sz w:val="18"/>
                <w:szCs w:val="18"/>
                <w:color w:val="auto"/>
              </w:rPr>
            </w:pPr>
          </w:p>
        </w:tc>
        <w:tc>
          <w:tcPr>
            <w:tcW w:w="1600" w:type="dxa"/>
            <w:vAlign w:val="bottom"/>
            <w:gridSpan w:val="2"/>
          </w:tcPr>
          <w:p>
            <w:pPr>
              <w:ind w:left="260"/>
              <w:spacing w:after="0"/>
              <w:rPr>
                <w:sz w:val="20"/>
                <w:szCs w:val="20"/>
                <w:color w:val="auto"/>
              </w:rPr>
            </w:pPr>
            <w:r>
              <w:rPr>
                <w:rFonts w:ascii="Arial" w:cs="Arial" w:eastAsia="Arial" w:hAnsi="Arial"/>
                <w:sz w:val="16"/>
                <w:szCs w:val="16"/>
                <w:b w:val="1"/>
                <w:bCs w:val="1"/>
                <w:color w:val="auto"/>
              </w:rPr>
              <w:t>Discount</w:t>
            </w:r>
          </w:p>
        </w:tc>
        <w:tc>
          <w:tcPr>
            <w:tcW w:w="160" w:type="dxa"/>
            <w:vAlign w:val="bottom"/>
          </w:tcPr>
          <w:p>
            <w:pPr>
              <w:spacing w:after="0"/>
              <w:rPr>
                <w:sz w:val="18"/>
                <w:szCs w:val="18"/>
                <w:color w:val="auto"/>
              </w:rPr>
            </w:pPr>
          </w:p>
        </w:tc>
        <w:tc>
          <w:tcPr>
            <w:tcW w:w="20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w w:val="90"/>
              </w:rPr>
              <w:t>Debt Issuance Costs</w:t>
            </w:r>
          </w:p>
        </w:tc>
        <w:tc>
          <w:tcPr>
            <w:tcW w:w="1520" w:type="dxa"/>
            <w:vAlign w:val="bottom"/>
          </w:tcPr>
          <w:p>
            <w:pPr>
              <w:jc w:val="right"/>
              <w:ind w:right="399"/>
              <w:spacing w:after="0"/>
              <w:rPr>
                <w:sz w:val="20"/>
                <w:szCs w:val="20"/>
                <w:color w:val="auto"/>
              </w:rPr>
            </w:pPr>
            <w:r>
              <w:rPr>
                <w:rFonts w:ascii="Arial" w:cs="Arial" w:eastAsia="Arial" w:hAnsi="Arial"/>
                <w:sz w:val="16"/>
                <w:szCs w:val="16"/>
                <w:b w:val="1"/>
                <w:bCs w:val="1"/>
                <w:color w:val="auto"/>
              </w:rPr>
              <w:t>Net Balance</w:t>
            </w:r>
          </w:p>
        </w:tc>
      </w:tr>
      <w:tr>
        <w:trPr>
          <w:trHeight w:val="33"/>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Previous Revolving 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Previous First Lien Term Loan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401,513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394,773</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Previous Second Lien Term Loan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144,602</w:t>
            </w:r>
          </w:p>
        </w:tc>
      </w:tr>
      <w:tr>
        <w:trPr>
          <w:trHeight w:val="284"/>
        </w:trPr>
        <w:tc>
          <w:tcPr>
            <w:tcW w:w="39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551,513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(11,076)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CCEEFF"/>
            </w:tcBorders>
          </w:tcPr>
          <w:p>
            <w:pPr>
              <w:spacing w:after="0"/>
              <w:rPr>
                <w:sz w:val="24"/>
                <w:szCs w:val="24"/>
                <w:color w:val="auto"/>
              </w:rPr>
            </w:pPr>
          </w:p>
        </w:tc>
        <w:tc>
          <w:tcPr>
            <w:tcW w:w="1520" w:type="dxa"/>
            <w:vAlign w:val="bottom"/>
            <w:tcBorders>
              <w:top w:val="single" w:sz="8" w:color="auto"/>
              <w:bottom w:val="single" w:sz="8" w:color="CCEEFF"/>
            </w:tcBorders>
          </w:tcPr>
          <w:p>
            <w:pPr>
              <w:jc w:val="right"/>
              <w:ind w:right="19"/>
              <w:spacing w:after="0"/>
              <w:rPr>
                <w:sz w:val="20"/>
                <w:szCs w:val="20"/>
                <w:color w:val="auto"/>
              </w:rPr>
            </w:pPr>
            <w:r>
              <w:rPr>
                <w:rFonts w:ascii="Arial" w:cs="Arial" w:eastAsia="Arial" w:hAnsi="Arial"/>
                <w:sz w:val="16"/>
                <w:szCs w:val="16"/>
                <w:color w:val="auto"/>
              </w:rPr>
              <w:t>539,375</w:t>
            </w: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(4,150)</w:t>
            </w:r>
          </w:p>
        </w:tc>
      </w:tr>
      <w:tr>
        <w:trPr>
          <w:trHeight w:val="244"/>
        </w:trPr>
        <w:tc>
          <w:tcPr>
            <w:tcW w:w="3900" w:type="dxa"/>
            <w:vAlign w:val="bottom"/>
          </w:tcPr>
          <w:p>
            <w:pPr>
              <w:ind w:left="28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535,225</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b w:val="1"/>
          <w:bCs w:val="1"/>
          <w:color w:val="auto"/>
        </w:rPr>
        <w:t xml:space="preserve">Retired Debt Obligations </w:t>
      </w:r>
      <w:r>
        <w:rPr>
          <w:rFonts w:ascii="Arial" w:cs="Arial" w:eastAsia="Arial" w:hAnsi="Arial"/>
          <w:sz w:val="18"/>
          <w:szCs w:val="18"/>
          <w:color w:val="auto"/>
        </w:rPr>
        <w:t>— During 2015, Option Care entered into two credit arrangements administered by Bank of America, N.A. and U.S. Bank.</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agreements provided for up to $645.0 million in senior secured credit facilities through an $80.0 million revolving credit facility (the “Previous Revolving Credit Facility”), a $415.0 million first lien term loan (the “Previous First Lien Term Loan”), and a $150.0 million second lien term loan (the “Previous Second Lien Term Loan”, and together with the Previous First Lien Term Loan, the “Previous Term Loans”, and the Previous Term Loans, together with the Previous Revolving Credit Facility, the “Previous Credit Facilities”). Amounts borrowed under the credit agreements were secured by substantially all of the assets of the Company.</w:t>
      </w:r>
    </w:p>
    <w:p>
      <w:pPr>
        <w:spacing w:after="0" w:line="19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incurred an original issue discount in conjunction with entering into the Previous First Lien Term Loan of $2.1 million, and also incurred an aggregate of $21.1 million in debt issuance costs to obtain the two credit agreements. These costs were recorded as a reduction to the carrying amount in the consolidated balance sheets and were being amortized over the term of the related debt using the effective interest method for the Previous Term Loans and the straight-line method for the Previous Revolving Credit Facility.</w:t>
      </w:r>
    </w:p>
    <w:p>
      <w:pPr>
        <w:spacing w:after="0" w:line="187"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On August 6, 2019, the Company repaid the outstanding balance of Previous Term Loans and retired the outstanding Previous Credit Facilities by entering into two new credit arrangements and a notes indenture, described below under “New Debt Obligations”. At the time of repayment, the outstanding balance of the Previous First Lien Term Loan was $393.8 million, which was comprised of principal of $399.4 million, net of debt issuance costs of $0.9 million and deferred financing costs of $4.7 million. The balance of the Previous Second Lien Term Loan was $145.8 million, which was comprised of principal of $150.0 million, net of deferred financing costs of $4.2 million. Proceeds from the two new credit arrangements and notes indenture were also used, in part, to repay the outstanding debt of BioScrip as of the Merger Date of $575.0 million.</w:t>
      </w:r>
    </w:p>
    <w:p>
      <w:pPr>
        <w:spacing w:after="0" w:line="178" w:lineRule="exact"/>
        <w:rPr>
          <w:sz w:val="20"/>
          <w:szCs w:val="20"/>
          <w:color w:val="auto"/>
        </w:rPr>
      </w:pPr>
    </w:p>
    <w:p>
      <w:pPr>
        <w:ind w:right="220" w:firstLine="324"/>
        <w:spacing w:after="0" w:line="286" w:lineRule="auto"/>
        <w:rPr>
          <w:sz w:val="20"/>
          <w:szCs w:val="20"/>
          <w:color w:val="auto"/>
        </w:rPr>
      </w:pPr>
      <w:r>
        <w:rPr>
          <w:rFonts w:ascii="Arial" w:cs="Arial" w:eastAsia="Arial" w:hAnsi="Arial"/>
          <w:sz w:val="16"/>
          <w:szCs w:val="16"/>
          <w:color w:val="auto"/>
        </w:rPr>
        <w:t>The principal balance on the Previous First Lien Term Loan was repayable in quarterly installments of $1.0 million. There were no quarterly principal payments required for the Previous Second Lien Term Loan. Interest was payable monthly for the Previous First Lien Term Loan and quarterly for the Previous Second Lien Term Loan. The interest rate on the Previous First Lien Term Loan was 6.10% as of December 31, 2018 and the interest rate on the Previous Second Lien Term Loan was 11.15% as of December 31, 2018. The weighted average interest rate paid on the Previous First Lien Term Loan was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6.20% and 6.30% for the years ended December 31, 2019 and 2018, respectively, prior to the retirement of the debt obligations. The weighted average interest paid on the Previous Second Lien Term Loan was 11.36% and 10.80% for the years ended December 31, 2019 and 2018, respectively, prior to the retirement of the debt obligations.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 xml:space="preserve">New Debt Obligations </w:t>
      </w:r>
      <w:r>
        <w:rPr>
          <w:rFonts w:ascii="Arial" w:cs="Arial" w:eastAsia="Arial" w:hAnsi="Arial"/>
          <w:sz w:val="18"/>
          <w:szCs w:val="18"/>
          <w:color w:val="auto"/>
        </w:rPr>
        <w:t>— In conjunction with the Merger, the Company entered into an asset-based-lending revolving credit facility administered by</w:t>
      </w:r>
      <w:r>
        <w:rPr>
          <w:rFonts w:ascii="Arial" w:cs="Arial" w:eastAsia="Arial" w:hAnsi="Arial"/>
          <w:sz w:val="18"/>
          <w:szCs w:val="18"/>
          <w:b w:val="1"/>
          <w:bCs w:val="1"/>
          <w:color w:val="auto"/>
        </w:rPr>
        <w:t xml:space="preserve"> </w:t>
      </w:r>
      <w:r>
        <w:rPr>
          <w:rFonts w:ascii="Arial" w:cs="Arial" w:eastAsia="Arial" w:hAnsi="Arial"/>
          <w:sz w:val="18"/>
          <w:szCs w:val="18"/>
          <w:color w:val="auto"/>
        </w:rPr>
        <w:t>Bank of America, N.A. The Company also issued senior secured second lien PIK toggle floating rate notes due 2027 (the “Second Lien Notes”) under an indenture with Ankura Trust Company, LLC. The two new credit agreements and the indenture were entered into on August 6, 2019 and provide for up to $1,475.0 million in senior secured credit facilities through a $150.0 million asset-based-lending revolving credit facility (the “ABL Facility”), a $925.0 million first lien term loan (the “First Lien Term Loan”, and together with the ABL Facility, the “Loan Facilities”), and a $400.0 million issuance of Second Lien notes.</w:t>
      </w:r>
    </w:p>
    <w:p>
      <w:pPr>
        <w:spacing w:after="0" w:line="192"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ABL Facility provides for borrowings up to $150.0 million, which matures on August 6, 2024. The ABL Facility bears interest at a per annum rate that is determined by the Company’s periodic selection of rate type, either the Base Rate or the Eurocurrency Rate. Interest on the ABL Facility is charged on Base Rate loans at Base Rate, as defined, plus 1.25% to 1.75%, depending on the historical excess availability as a percentage of the Line Cap, as defined in the ABL Facility credit agreement. Interest on the ABL Facility is charged on Eurocurrency Rate Loans at the Eurocurrency Rate, as defined, plus 2.25% to 2.75%, depending on the historical excess availability as a percentage of the Line Cap, as defined in the ABL Facility credit agreement. The ABL Facility contains commitment fees payable on the unused portion ranging from 0.25% to 0.375%, depending on various factors including the Company’s leverage ratio, type of loan and rate type, and letter of credit fees of 2.50%. Borrowings under the ABL Facility are secured by a first priority security interest in the Company’s and each of its subsidiaries’ inventory, accounts receivable, cash, deposit accounts and certain assets and property related thereto (the “ABL Priority Collateral”), in each case subject to certain exceptions, and a third priority security interest in the Term Loan Priority Collateral, as defined below. The Company had no outstanding borrowings under the ABL Facility at December 31, 2019. The Company had $9.6 million of undrawn letters of credit issued and outstanding, resulting in net borrowing availability under the ABL of $140.4 million as of December 31, 2019.</w:t>
      </w:r>
    </w:p>
    <w:p>
      <w:pPr>
        <w:spacing w:after="0" w:line="17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principal balance of the First Lien Term Loan is repayable in quarterly installments commencing in March 2020 of $2.3 million plus interest, with a final payment of all remaining outstanding principal due on August 6, 2026. Interest on the First Lien Term Loan is payable monthly on Base Rate loans at Base Rate, as defined, plus 3.25% to 3.50%, depending on the Company’s leverage ratio. Interest is charged on Eurocurrency Rate loans at the Eurocurrency Rate, as defined, plus 4.25% to 4.50%, depending on the Company’s leverage ratio. The interest rate on the First Lien Term Loan was 6.20% as of December 31, 2019. The weighted average interest rate incurred was 6.47% for the period August 6, 2019 through December 31, 2019. Amounts borrowed under the First Lien Term Loan are secured by a first priority security interest in each of the Company’s subsidiaries’ capital stock (subject to certain exceptions) and substantially all of the Company’s property and assets (other than the ABL Priority Collateral), (the “Term Loan Priority Collateral”), in each case subject to certain exceptions, and a second priority security interest in the ABL Priority Collateral.</w:t>
      </w:r>
    </w:p>
    <w:p>
      <w:pPr>
        <w:spacing w:after="0" w:line="1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Second Lien Notes mature on August 6, 2027. Interest on the Second Lien Notes is payable quarterly and is at the greater of 1% or the London Interbank Offered Rate (“LIBOR”), plus 8.75%. The Company elected to pay-in-kind (“PIK”) the first quarterly interest payment, due in November 2019, which resulted in the Company capitalizing $12.3 million in interest to the principal balance on the interest payment date. In connection with the PIK election, the Company was charged an additional 1.00% in interest expense on the first quarterly interest payment. The interest rate on the Second Lien Notes was 10.66% as of December 31, 2019. The weighted average interest incurred was 11.45% for the period August 6, 2019 through December 31, 2019.</w:t>
      </w:r>
    </w:p>
    <w:p>
      <w:pPr>
        <w:spacing w:after="0" w:line="15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Company assessed whether the repayment of the Previous Term Loans and subsequent issuance of the First Lien Term Loan and the Second Lien Notes resulted in an insubstantial modification or an extinguishment of the existing debt for each loan in the syndication by grouping lenders as follows: (i) Lenders participating in both the Previous Credit Facilities and the new Loan Facilities and Second Lien Notes; (ii) previous lenders that exited; and (iii) new lenders. The Company determined that $226.7 million of the Previous First Lien Term Loan was extinguished and none of the Previous Second Lien Term Loan was extinguished, which is disclosed as an outflow from financing activities in the consolidated statements of cash flows. The Company determined that $752.4 million of new debt was issued related to the First Lien Term Loan and $250.0 million of new debt was issued related to the Second Lien Notes, which is disclosed as an inflow from financing activities in the consolidated statements of cash flows. In connection with the issuance of the First Lien Term Loan, the Second Lien Notes, and the ABL Facility, the Company incurred $52.6 million in debt issuance costs and third-party fees, of which $48.1 million was capitalized, $1.3 million was expensed as a component of other expense and $3.2 million was expensed as a loss on extinguishment as a component of other expense. Further, $21.3 million of the total fees incurred of $52.6 million was netted against the $981.1 million of proceeds from debt as a component of the cash flows from financing activities, $30.0 million was presented as deferred financing costs as a component of cash flows from financing activities, and the remaining $1.3 million was included in cash flows from operating activities.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Company recognized a loss on extinguishment of debt of $5.5 million, of which $3.2 million related to debt issue costs incurred with the issuance of the Loan Facilities and Second Lien Notes, as discussed above, and $2.3 million related to deferred financing fees on the Previous Credit Facilities, which were written off upon extinguishment. All remaining deferred financing fees related to the Previous Credit Facilities of $7.6 million were attributed to modified loans, which are capitalized and will be amortized over the remaining term of the Loan Facilities and Second Lien Notes.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82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460" w:type="dxa"/>
            <w:vAlign w:val="bottom"/>
          </w:tcPr>
          <w:p>
            <w:pPr>
              <w:ind w:left="40"/>
              <w:spacing w:after="0"/>
              <w:rPr>
                <w:sz w:val="20"/>
                <w:szCs w:val="20"/>
                <w:color w:val="auto"/>
              </w:rPr>
            </w:pPr>
            <w:r>
              <w:rPr>
                <w:rFonts w:ascii="Arial" w:cs="Arial" w:eastAsia="Arial" w:hAnsi="Arial"/>
                <w:sz w:val="16"/>
                <w:szCs w:val="16"/>
                <w:b w:val="1"/>
                <w:bCs w:val="1"/>
                <w:color w:val="auto"/>
                <w:w w:val="93"/>
              </w:rPr>
              <w:t>Minimum Payments</w:t>
            </w:r>
          </w:p>
        </w:tc>
        <w:tc>
          <w:tcPr>
            <w:tcW w:w="740" w:type="dxa"/>
            <w:vAlign w:val="bottom"/>
          </w:tcPr>
          <w:p>
            <w:pPr>
              <w:spacing w:after="0"/>
              <w:rPr>
                <w:sz w:val="18"/>
                <w:szCs w:val="18"/>
                <w:color w:val="auto"/>
              </w:rPr>
            </w:pPr>
          </w:p>
        </w:tc>
      </w:tr>
      <w:tr>
        <w:trPr>
          <w:trHeight w:val="33"/>
        </w:trPr>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3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33"/>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237"/>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2025 and beyond</w:t>
            </w:r>
          </w:p>
        </w:tc>
        <w:tc>
          <w:tcPr>
            <w:tcW w:w="1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1,291,006</w:t>
            </w:r>
          </w:p>
        </w:tc>
      </w:tr>
      <w:tr>
        <w:trPr>
          <w:trHeight w:val="33"/>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1,337,256</w:t>
            </w: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 xml:space="preserve">During the year ended December 31, 2019, the Company engaged in hedging activities to limit its exposure to changes in interest rates. See Note 13,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December 31, 2019 (in thousands):</w:t>
      </w:r>
    </w:p>
    <w:p>
      <w:pPr>
        <w:spacing w:after="0" w:line="388" w:lineRule="exact"/>
        <w:rPr>
          <w:sz w:val="20"/>
          <w:szCs w:val="20"/>
          <w:color w:val="auto"/>
        </w:rPr>
      </w:pPr>
    </w:p>
    <w:tbl>
      <w:tblPr>
        <w:tblLayout w:type="fixed"/>
        <w:tblInd w:w="182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Carrying Value as</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Markets for</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Significant Other</w:t>
            </w:r>
          </w:p>
        </w:tc>
        <w:tc>
          <w:tcPr>
            <w:tcW w:w="12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of December 31,</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Identical Item</w:t>
            </w: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Observable Inputs</w:t>
            </w:r>
          </w:p>
        </w:tc>
        <w:tc>
          <w:tcPr>
            <w:tcW w:w="1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Unobservable</w:t>
            </w:r>
          </w:p>
        </w:tc>
      </w:tr>
      <w:tr>
        <w:trPr>
          <w:trHeight w:val="210"/>
        </w:trPr>
        <w:tc>
          <w:tcPr>
            <w:tcW w:w="2260" w:type="dxa"/>
            <w:vAlign w:val="bottom"/>
            <w:gridSpan w:val="2"/>
          </w:tcPr>
          <w:p>
            <w:pPr>
              <w:ind w:left="340"/>
              <w:spacing w:after="0"/>
              <w:rPr>
                <w:sz w:val="20"/>
                <w:szCs w:val="20"/>
                <w:color w:val="auto"/>
              </w:rPr>
            </w:pPr>
            <w:r>
              <w:rPr>
                <w:rFonts w:ascii="Arial" w:cs="Arial" w:eastAsia="Arial" w:hAnsi="Arial"/>
                <w:sz w:val="16"/>
                <w:szCs w:val="16"/>
                <w:b w:val="1"/>
                <w:bCs w:val="1"/>
                <w:color w:val="auto"/>
              </w:rPr>
              <w:t>Financial Instrument</w:t>
            </w:r>
          </w:p>
        </w:tc>
        <w:tc>
          <w:tcPr>
            <w:tcW w:w="120" w:type="dxa"/>
            <w:vAlign w:val="bottom"/>
          </w:tcPr>
          <w:p>
            <w:pPr>
              <w:spacing w:after="0"/>
              <w:rPr>
                <w:sz w:val="18"/>
                <w:szCs w:val="18"/>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2)</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Inputs (Level 3)</w:t>
            </w:r>
          </w:p>
        </w:tc>
      </w:tr>
      <w:tr>
        <w:trPr>
          <w:trHeight w:val="33"/>
        </w:trPr>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First Lien Note Facility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893,776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922,688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260" w:type="dxa"/>
            <w:vAlign w:val="bottom"/>
            <w:gridSpan w:val="2"/>
          </w:tcPr>
          <w:p>
            <w:pPr>
              <w:ind w:left="20"/>
              <w:spacing w:after="0"/>
              <w:rPr>
                <w:sz w:val="20"/>
                <w:szCs w:val="20"/>
                <w:color w:val="auto"/>
              </w:rPr>
            </w:pPr>
            <w:r>
              <w:rPr>
                <w:rFonts w:ascii="Arial" w:cs="Arial" w:eastAsia="Arial" w:hAnsi="Arial"/>
                <w:sz w:val="16"/>
                <w:szCs w:val="16"/>
                <w:color w:val="auto"/>
              </w:rPr>
              <w:t>Second Lien Note Facility</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392,720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411,119</w:t>
            </w:r>
          </w:p>
        </w:tc>
      </w:tr>
      <w:tr>
        <w:trPr>
          <w:trHeight w:val="33"/>
        </w:trPr>
        <w:tc>
          <w:tcPr>
            <w:tcW w:w="2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 debt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1,286,496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922,688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411,119</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changes in Level 3 measurements for the year ended December 31,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Level 3 Measurements</w:t>
            </w:r>
          </w:p>
        </w:tc>
      </w:tr>
      <w:tr>
        <w:trPr>
          <w:trHeight w:val="33"/>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Previous Term Loans fair value as of January 1, 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551,882</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debt principal</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Retirements of Previous Term Loans</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(549,438)</w:t>
            </w: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Second Lien Notes as of August 6, 2019</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388,000</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Interest rate PIK</w:t>
            </w:r>
          </w:p>
        </w:tc>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12,256</w:t>
            </w: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 value</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10,863</w:t>
            </w:r>
          </w:p>
        </w:tc>
      </w:tr>
      <w:tr>
        <w:trPr>
          <w:trHeight w:val="244"/>
        </w:trPr>
        <w:tc>
          <w:tcPr>
            <w:tcW w:w="5500" w:type="dxa"/>
            <w:vAlign w:val="bottom"/>
          </w:tcPr>
          <w:p>
            <w:pPr>
              <w:ind w:left="40"/>
              <w:spacing w:after="0"/>
              <w:rPr>
                <w:sz w:val="20"/>
                <w:szCs w:val="20"/>
                <w:color w:val="auto"/>
              </w:rPr>
            </w:pPr>
            <w:r>
              <w:rPr>
                <w:rFonts w:ascii="Arial" w:cs="Arial" w:eastAsia="Arial" w:hAnsi="Arial"/>
                <w:sz w:val="16"/>
                <w:szCs w:val="16"/>
                <w:color w:val="auto"/>
              </w:rPr>
              <w:t>Second Lien Notes fair value as of December 31, 2019</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411,119</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INSTRUMENTS</w:t>
      </w:r>
    </w:p>
    <w:p>
      <w:pPr>
        <w:spacing w:after="0" w:line="18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During 2017, Option Care entered into interest rate caps that reduce the risk of increased interest payments due to rising interest rates. The hedges offset the risk of rising interest rates through 2020 on the first $250.0 million of the Previous First Lien Term Loan. The interest rate caps perfectly offset the terms of the interest rates associated with the variable interest rate Previous First Lien Term Loan. Option Care entered into the interest rate caps as a cash flow hedge for a notional amount of $1.9 million. In April 2019, Option Care terminated its interest rate caps and received cash proceeds of $1.7 million, net of early termination fees. In conjunction with the termination of the interest rate caps, Option Care discontinued the hedge accounting associated with the interest rate caps.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In August 2019, the Company entered into interest rate swap agreements that reduce the variability in the interest rates on the newly-issued debt obligations. The first interest rate swap for $925.0 million notional was effective in August 2019 with $911.1 million designated as a cash flow hedge against the underlying interest rate on the First Lien Term Loan interest payments indexed to one-month LIBOR through August 2021. The second interest rate swap for $400.0 million notional was effective in November 2019 and is designated as a cash flow hedge against the underlying interest rate on the Second Lien Notes interest payment indexed to three-month LIBOR through November 2020. In accordance with ASU 2017-12, </w:t>
      </w:r>
      <w:r>
        <w:rPr>
          <w:rFonts w:ascii="Arial" w:cs="Arial" w:eastAsia="Arial" w:hAnsi="Arial"/>
          <w:sz w:val="18"/>
          <w:szCs w:val="18"/>
          <w:i w:val="1"/>
          <w:iCs w:val="1"/>
          <w:color w:val="auto"/>
        </w:rPr>
        <w:t>Targeted Improvements to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Hedges</w:t>
      </w:r>
      <w:r>
        <w:rPr>
          <w:rFonts w:ascii="Arial" w:cs="Arial" w:eastAsia="Arial" w:hAnsi="Arial"/>
          <w:sz w:val="18"/>
          <w:szCs w:val="18"/>
          <w:color w:val="auto"/>
        </w:rPr>
        <w:t>, the Company has determined that the hedges are perfectly effective. The remaining $13.9 million notional amount of the first interest rate swap is not</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as a hedging instrument.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 and location of the Company’s derivative instruments in the consolidated balance sheets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20" w:type="dxa"/>
            <w:vAlign w:val="bottom"/>
            <w:gridSpan w:val="6"/>
          </w:tcPr>
          <w:p>
            <w:pPr>
              <w:jc w:val="right"/>
              <w:spacing w:after="0"/>
              <w:rPr>
                <w:sz w:val="20"/>
                <w:szCs w:val="20"/>
                <w:color w:val="auto"/>
              </w:rPr>
            </w:pPr>
            <w:r>
              <w:rPr>
                <w:rFonts w:ascii="Arial" w:cs="Arial" w:eastAsia="Arial" w:hAnsi="Arial"/>
                <w:sz w:val="16"/>
                <w:szCs w:val="16"/>
                <w:b w:val="1"/>
                <w:bCs w:val="1"/>
                <w:color w:val="auto"/>
                <w:w w:val="91"/>
              </w:rPr>
              <w:t>Fair value - Derivatives in asset position</w:t>
            </w:r>
          </w:p>
        </w:tc>
        <w:tc>
          <w:tcPr>
            <w:tcW w:w="168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c>
          <w:tcPr>
            <w:tcW w:w="1640" w:type="dxa"/>
            <w:vAlign w:val="bottom"/>
          </w:tcPr>
          <w:p>
            <w:pPr>
              <w:ind w:left="20"/>
              <w:spacing w:after="0"/>
              <w:rPr>
                <w:sz w:val="20"/>
                <w:szCs w:val="20"/>
                <w:color w:val="auto"/>
              </w:rPr>
            </w:pPr>
            <w:r>
              <w:rPr>
                <w:rFonts w:ascii="Arial" w:cs="Arial" w:eastAsia="Arial" w:hAnsi="Arial"/>
                <w:sz w:val="16"/>
                <w:szCs w:val="16"/>
                <w:b w:val="1"/>
                <w:bCs w:val="1"/>
                <w:color w:val="auto"/>
                <w:w w:val="92"/>
              </w:rPr>
              <w:t>Balance Sheet Caption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c>
          <w:tcPr>
            <w:tcW w:w="360" w:type="dxa"/>
            <w:vAlign w:val="bottom"/>
          </w:tcPr>
          <w:p>
            <w:pPr>
              <w:spacing w:after="0"/>
              <w:rPr>
                <w:sz w:val="20"/>
                <w:szCs w:val="20"/>
                <w:color w:val="auto"/>
              </w:rPr>
            </w:pPr>
          </w:p>
        </w:tc>
        <w:tc>
          <w:tcPr>
            <w:tcW w:w="1680" w:type="dxa"/>
            <w:vAlign w:val="bottom"/>
          </w:tcPr>
          <w:p>
            <w:pPr>
              <w:jc w:val="right"/>
              <w:ind w:right="279"/>
              <w:spacing w:after="0"/>
              <w:rPr>
                <w:sz w:val="20"/>
                <w:szCs w:val="20"/>
                <w:color w:val="auto"/>
              </w:rPr>
            </w:pPr>
            <w:r>
              <w:rPr>
                <w:rFonts w:ascii="Arial" w:cs="Arial" w:eastAsia="Arial" w:hAnsi="Arial"/>
                <w:sz w:val="16"/>
                <w:szCs w:val="16"/>
                <w:b w:val="1"/>
                <w:bCs w:val="1"/>
                <w:color w:val="auto"/>
                <w:w w:val="90"/>
              </w:rPr>
              <w:t>December 31, 2018</w:t>
            </w:r>
          </w:p>
        </w:tc>
      </w:tr>
      <w:tr>
        <w:trPr>
          <w:trHeight w:val="33"/>
        </w:trPr>
        <w:tc>
          <w:tcPr>
            <w:tcW w:w="5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3"/>
        </w:trPr>
        <w:tc>
          <w:tcPr>
            <w:tcW w:w="5280" w:type="dxa"/>
            <w:vAlign w:val="bottom"/>
            <w:shd w:val="clear" w:color="auto" w:fill="CCEEFF"/>
          </w:tcPr>
          <w:p>
            <w:pPr>
              <w:spacing w:after="0"/>
              <w:rPr>
                <w:sz w:val="18"/>
                <w:szCs w:val="18"/>
                <w:color w:val="auto"/>
              </w:rPr>
            </w:pPr>
          </w:p>
        </w:tc>
        <w:tc>
          <w:tcPr>
            <w:tcW w:w="22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3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caps designated as cash flow hedges</w:t>
            </w:r>
          </w:p>
        </w:tc>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2,627</w:t>
            </w:r>
          </w:p>
        </w:tc>
      </w:tr>
      <w:tr>
        <w:trPr>
          <w:trHeight w:val="244"/>
        </w:trPr>
        <w:tc>
          <w:tcPr>
            <w:tcW w:w="5280" w:type="dxa"/>
            <w:vAlign w:val="bottom"/>
          </w:tcPr>
          <w:p>
            <w:pPr>
              <w:ind w:left="40"/>
              <w:spacing w:after="0"/>
              <w:rPr>
                <w:sz w:val="20"/>
                <w:szCs w:val="20"/>
                <w:color w:val="auto"/>
              </w:rPr>
            </w:pPr>
            <w:r>
              <w:rPr>
                <w:rFonts w:ascii="Arial" w:cs="Arial" w:eastAsia="Arial" w:hAnsi="Arial"/>
                <w:sz w:val="16"/>
                <w:szCs w:val="16"/>
                <w:color w:val="auto"/>
              </w:rPr>
              <w:t>Total derivatives</w:t>
            </w:r>
          </w:p>
        </w:tc>
        <w:tc>
          <w:tcPr>
            <w:tcW w:w="164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2,627</w:t>
            </w:r>
          </w:p>
        </w:tc>
      </w:tr>
      <w:tr>
        <w:trPr>
          <w:trHeight w:val="20"/>
        </w:trPr>
        <w:tc>
          <w:tcPr>
            <w:tcW w:w="5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6140" w:type="dxa"/>
            <w:vAlign w:val="bottom"/>
            <w:gridSpan w:val="6"/>
          </w:tcPr>
          <w:p>
            <w:pPr>
              <w:ind w:left="1580"/>
              <w:spacing w:after="0"/>
              <w:rPr>
                <w:sz w:val="20"/>
                <w:szCs w:val="20"/>
                <w:color w:val="auto"/>
              </w:rPr>
            </w:pPr>
            <w:r>
              <w:rPr>
                <w:rFonts w:ascii="Arial" w:cs="Arial" w:eastAsia="Arial" w:hAnsi="Arial"/>
                <w:sz w:val="16"/>
                <w:szCs w:val="16"/>
                <w:b w:val="1"/>
                <w:bCs w:val="1"/>
                <w:color w:val="auto"/>
              </w:rPr>
              <w:t>Fair value - Derivatives in liability position</w:t>
            </w:r>
          </w:p>
        </w:tc>
      </w:tr>
      <w:tr>
        <w:trPr>
          <w:trHeight w:val="33"/>
        </w:trPr>
        <w:tc>
          <w:tcPr>
            <w:tcW w:w="52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240" w:type="dxa"/>
            <w:vAlign w:val="bottom"/>
          </w:tcPr>
          <w:p>
            <w:pPr>
              <w:spacing w:after="0"/>
              <w:rPr>
                <w:sz w:val="20"/>
                <w:szCs w:val="20"/>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Pr>
          <w:p>
            <w:pPr>
              <w:spacing w:after="0"/>
              <w:rPr>
                <w:sz w:val="20"/>
                <w:szCs w:val="20"/>
                <w:color w:val="auto"/>
              </w:rPr>
            </w:pPr>
          </w:p>
        </w:tc>
        <w:tc>
          <w:tcPr>
            <w:tcW w:w="1800" w:type="dxa"/>
            <w:vAlign w:val="bottom"/>
          </w:tcPr>
          <w:p>
            <w:pPr>
              <w:ind w:left="12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2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0"/>
        </w:trPr>
        <w:tc>
          <w:tcPr>
            <w:tcW w:w="5280" w:type="dxa"/>
            <w:vAlign w:val="bottom"/>
            <w:shd w:val="clear" w:color="auto" w:fill="CCEEFF"/>
          </w:tcPr>
          <w:p>
            <w:pPr>
              <w:spacing w:after="0"/>
              <w:rPr>
                <w:sz w:val="17"/>
                <w:szCs w:val="17"/>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w:t>
            </w: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1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designated as cash flow hedges</w:t>
            </w: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color w:val="auto"/>
              </w:rPr>
              <w:t>—</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Interest rate swaps designated as cash flow hedges</w:t>
            </w:r>
          </w:p>
        </w:tc>
        <w:tc>
          <w:tcPr>
            <w:tcW w:w="19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5,920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ind w:left="1520"/>
              <w:spacing w:after="0"/>
              <w:rPr>
                <w:sz w:val="20"/>
                <w:szCs w:val="20"/>
                <w:color w:val="auto"/>
              </w:rPr>
            </w:pPr>
            <w:r>
              <w:rPr>
                <w:rFonts w:ascii="Arial" w:cs="Arial" w:eastAsia="Arial" w:hAnsi="Arial"/>
                <w:sz w:val="16"/>
                <w:szCs w:val="16"/>
                <w:color w:val="auto"/>
              </w:rPr>
              <w:t>—</w:t>
            </w:r>
          </w:p>
        </w:tc>
      </w:tr>
      <w:tr>
        <w:trPr>
          <w:trHeight w:val="33"/>
        </w:trPr>
        <w:tc>
          <w:tcPr>
            <w:tcW w:w="5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swaps not designated as hedges</w:t>
            </w: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6"/>
                <w:szCs w:val="16"/>
                <w:color w:val="auto"/>
              </w:rPr>
              <w:t>—</w:t>
            </w:r>
          </w:p>
        </w:tc>
      </w:tr>
      <w:tr>
        <w:trPr>
          <w:trHeight w:val="244"/>
        </w:trPr>
        <w:tc>
          <w:tcPr>
            <w:tcW w:w="5280" w:type="dxa"/>
            <w:vAlign w:val="bottom"/>
          </w:tcPr>
          <w:p>
            <w:pPr>
              <w:ind w:left="40"/>
              <w:spacing w:after="0"/>
              <w:rPr>
                <w:sz w:val="20"/>
                <w:szCs w:val="20"/>
                <w:color w:val="auto"/>
              </w:rPr>
            </w:pPr>
            <w:r>
              <w:rPr>
                <w:rFonts w:ascii="Arial" w:cs="Arial" w:eastAsia="Arial" w:hAnsi="Arial"/>
                <w:sz w:val="16"/>
                <w:szCs w:val="16"/>
                <w:color w:val="auto"/>
              </w:rPr>
              <w:t>Total derivatives</w:t>
            </w:r>
          </w:p>
        </w:tc>
        <w:tc>
          <w:tcPr>
            <w:tcW w:w="196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7,285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6"/>
                <w:szCs w:val="16"/>
                <w:color w:val="auto"/>
              </w:rPr>
              <w:t>—</w:t>
            </w:r>
          </w:p>
        </w:tc>
      </w:tr>
      <w:tr>
        <w:trPr>
          <w:trHeight w:val="20"/>
        </w:trPr>
        <w:tc>
          <w:tcPr>
            <w:tcW w:w="5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gain and loss associated with the changes in the fair value of the effective portion of the hedging instrument are recorded into other comprehensive (loss) income. The gain and loss associated with the changes in the fair value of the $13.9 million notional amount not designated as a hedging instrument are recognized in net income through interest expense. The following table presents the pre-tax gains (losses) from derivative instruments recognized in other comprehensive (loss) income in the Company’s consolidated statements of comprehensive income (loss) (in thousands):</w:t>
      </w:r>
    </w:p>
    <w:p>
      <w:pPr>
        <w:spacing w:after="0" w:line="330" w:lineRule="exact"/>
        <w:rPr>
          <w:sz w:val="20"/>
          <w:szCs w:val="20"/>
          <w:color w:val="auto"/>
        </w:rPr>
      </w:pPr>
    </w:p>
    <w:tbl>
      <w:tblPr>
        <w:tblLayout w:type="fixed"/>
        <w:tblInd w:w="240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7"/>
          </w:tcPr>
          <w:p>
            <w:pPr>
              <w:jc w:val="right"/>
              <w:ind w:right="479"/>
              <w:spacing w:after="0"/>
              <w:rPr>
                <w:sz w:val="20"/>
                <w:szCs w:val="20"/>
                <w:color w:val="auto"/>
              </w:rPr>
            </w:pPr>
            <w:r>
              <w:rPr>
                <w:rFonts w:ascii="Arial" w:cs="Arial" w:eastAsia="Arial" w:hAnsi="Arial"/>
                <w:sz w:val="16"/>
                <w:szCs w:val="16"/>
                <w:b w:val="1"/>
                <w:bCs w:val="1"/>
                <w:color w:val="auto"/>
              </w:rPr>
              <w:t>Years Ended December 31,</w:t>
            </w:r>
          </w:p>
        </w:tc>
      </w:tr>
      <w:tr>
        <w:trPr>
          <w:trHeight w:val="33"/>
        </w:trPr>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Derivative</w:t>
            </w:r>
          </w:p>
        </w:tc>
        <w:tc>
          <w:tcPr>
            <w:tcW w:w="220" w:type="dxa"/>
            <w:vAlign w:val="bottom"/>
          </w:tcPr>
          <w:p>
            <w:pPr>
              <w:spacing w:after="0"/>
              <w:rPr>
                <w:sz w:val="20"/>
                <w:szCs w:val="20"/>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r>
      <w:tr>
        <w:trPr>
          <w:trHeight w:val="33"/>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caps designated as cash flow hedges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3620" w:type="dxa"/>
            <w:vAlign w:val="bottom"/>
          </w:tcPr>
          <w:p>
            <w:pPr>
              <w:ind w:left="20"/>
              <w:spacing w:after="0"/>
              <w:rPr>
                <w:sz w:val="20"/>
                <w:szCs w:val="20"/>
                <w:color w:val="auto"/>
              </w:rPr>
            </w:pPr>
            <w:r>
              <w:rPr>
                <w:rFonts w:ascii="Arial" w:cs="Arial" w:eastAsia="Arial" w:hAnsi="Arial"/>
                <w:sz w:val="16"/>
                <w:szCs w:val="16"/>
                <w:color w:val="auto"/>
                <w:w w:val="97"/>
              </w:rPr>
              <w:t>Interest rate swaps designated as cash flow hedges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consolidated statement of comprehensive income (loss) related to the Company’s derivative instruments (in thousands):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97" w:lineRule="exact"/>
        <w:rPr>
          <w:sz w:val="20"/>
          <w:szCs w:val="20"/>
          <w:color w:val="auto"/>
        </w:rPr>
      </w:pPr>
    </w:p>
    <w:tbl>
      <w:tblPr>
        <w:tblLayout w:type="fixed"/>
        <w:tblInd w:w="180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7"/>
          </w:tcPr>
          <w:p>
            <w:pPr>
              <w:jc w:val="right"/>
              <w:ind w:right="192"/>
              <w:spacing w:after="0"/>
              <w:rPr>
                <w:sz w:val="20"/>
                <w:szCs w:val="20"/>
                <w:color w:val="auto"/>
              </w:rPr>
            </w:pPr>
            <w:r>
              <w:rPr>
                <w:rFonts w:ascii="Arial" w:cs="Arial" w:eastAsia="Arial" w:hAnsi="Arial"/>
                <w:sz w:val="16"/>
                <w:szCs w:val="16"/>
                <w:b w:val="1"/>
                <w:bCs w:val="1"/>
                <w:color w:val="auto"/>
                <w:w w:val="96"/>
              </w:rPr>
              <w:t>Year Ended December 31,</w:t>
            </w:r>
          </w:p>
        </w:tc>
      </w:tr>
      <w:tr>
        <w:trPr>
          <w:trHeight w:val="33"/>
        </w:trPr>
        <w:tc>
          <w:tcPr>
            <w:tcW w:w="328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ind w:left="40"/>
              <w:spacing w:after="0"/>
              <w:rPr>
                <w:sz w:val="20"/>
                <w:szCs w:val="20"/>
                <w:color w:val="auto"/>
              </w:rPr>
            </w:pPr>
            <w:r>
              <w:rPr>
                <w:rFonts w:ascii="Arial" w:cs="Arial" w:eastAsia="Arial" w:hAnsi="Arial"/>
                <w:sz w:val="16"/>
                <w:szCs w:val="16"/>
                <w:b w:val="1"/>
                <w:bCs w:val="1"/>
                <w:color w:val="auto"/>
              </w:rPr>
              <w:t>Derivative</w:t>
            </w:r>
          </w:p>
        </w:tc>
        <w:tc>
          <w:tcPr>
            <w:tcW w:w="216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Income Statement Caption</w:t>
            </w:r>
          </w:p>
        </w:tc>
        <w:tc>
          <w:tcPr>
            <w:tcW w:w="180" w:type="dxa"/>
            <w:vAlign w:val="bottom"/>
          </w:tcPr>
          <w:p>
            <w:pPr>
              <w:spacing w:after="0"/>
              <w:rPr>
                <w:sz w:val="20"/>
                <w:szCs w:val="20"/>
                <w:color w:val="auto"/>
              </w:rPr>
            </w:pPr>
          </w:p>
        </w:tc>
        <w:tc>
          <w:tcPr>
            <w:tcW w:w="560" w:type="dxa"/>
            <w:vAlign w:val="bottom"/>
          </w:tcPr>
          <w:p>
            <w:pPr>
              <w:jc w:val="right"/>
              <w:ind w:right="113"/>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11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92"/>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3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0"/>
              </w:rPr>
              <w:t>Interest rate caps designated as cash flow hedges</w:t>
            </w:r>
          </w:p>
        </w:tc>
        <w:tc>
          <w:tcPr>
            <w:tcW w:w="21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440" w:type="dxa"/>
            <w:vAlign w:val="bottom"/>
            <w:gridSpan w:val="3"/>
          </w:tcPr>
          <w:p>
            <w:pPr>
              <w:ind w:left="40"/>
              <w:spacing w:after="0"/>
              <w:rPr>
                <w:sz w:val="20"/>
                <w:szCs w:val="20"/>
                <w:color w:val="auto"/>
              </w:rPr>
            </w:pPr>
            <w:r>
              <w:rPr>
                <w:rFonts w:ascii="Arial" w:cs="Arial" w:eastAsia="Arial" w:hAnsi="Arial"/>
                <w:sz w:val="16"/>
                <w:szCs w:val="16"/>
                <w:color w:val="auto"/>
              </w:rPr>
              <w:t>Interest rate swaps designated as cash flow hedges Interest expense</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Interest rate swaps not designated as hedges</w:t>
            </w:r>
          </w:p>
        </w:tc>
        <w:tc>
          <w:tcPr>
            <w:tcW w:w="21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280" w:type="dxa"/>
            <w:vAlign w:val="bottom"/>
          </w:tcPr>
          <w:p>
            <w:pPr>
              <w:ind w:left="40"/>
              <w:spacing w:after="0"/>
              <w:rPr>
                <w:sz w:val="20"/>
                <w:szCs w:val="20"/>
                <w:color w:val="auto"/>
              </w:rPr>
            </w:pPr>
            <w:r>
              <w:rPr>
                <w:rFonts w:ascii="Arial" w:cs="Arial" w:eastAsia="Arial" w:hAnsi="Arial"/>
                <w:sz w:val="16"/>
                <w:szCs w:val="16"/>
                <w:color w:val="auto"/>
              </w:rPr>
              <w:t>Total</w:t>
            </w: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expects to reclassify $5.1 million of total interest rate costs from accumulated other comprehensive loss against interest expense during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While the Company believes its valuation methods are appropriate and consistent with other market participants,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methodologies or assumptions to determine the fair value of certain financial instruments could result in a different fair value measurement at the reporting date.</w:t>
      </w:r>
    </w:p>
    <w:p>
      <w:pPr>
        <w:spacing w:after="0" w:line="19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12,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on the carrying amount and fair value of the First Lien Term Loan.</w:t>
      </w:r>
    </w:p>
    <w:p>
      <w:pPr>
        <w:spacing w:after="0" w:line="170"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i w:val="1"/>
          <w:iCs w:val="1"/>
          <w:color w:val="auto"/>
        </w:rPr>
        <w:t>Second Lien Notes</w:t>
      </w:r>
      <w:r>
        <w:rPr>
          <w:rFonts w:ascii="Arial" w:cs="Arial" w:eastAsia="Arial" w:hAnsi="Arial"/>
          <w:sz w:val="17"/>
          <w:szCs w:val="17"/>
          <w:color w:val="auto"/>
        </w:rPr>
        <w:t>: The fair value of the Second Lien Notes is derived from a cash flow model that discounted the cash flows based on market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rates (Level 3 inputs). See Note 12, </w:t>
      </w:r>
      <w:r>
        <w:rPr>
          <w:rFonts w:ascii="Arial" w:cs="Arial" w:eastAsia="Arial" w:hAnsi="Arial"/>
          <w:sz w:val="17"/>
          <w:szCs w:val="17"/>
          <w:i w:val="1"/>
          <w:iCs w:val="1"/>
          <w:color w:val="auto"/>
        </w:rPr>
        <w:t>Indebtedness</w:t>
      </w:r>
      <w:r>
        <w:rPr>
          <w:rFonts w:ascii="Arial" w:cs="Arial" w:eastAsia="Arial" w:hAnsi="Arial"/>
          <w:sz w:val="17"/>
          <w:szCs w:val="17"/>
          <w:color w:val="auto"/>
        </w:rPr>
        <w:t>, for further discussion on the carrying amount and fair value of the Second Lien Notes.</w:t>
      </w:r>
    </w:p>
    <w:p>
      <w:pPr>
        <w:spacing w:after="0" w:line="147"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 The fair values of interest rate swaps are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13,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on the fair value of the interest rate swaps.</w:t>
      </w:r>
    </w:p>
    <w:p>
      <w:pPr>
        <w:spacing w:after="0" w:line="18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i w:val="1"/>
          <w:iCs w:val="1"/>
          <w:color w:val="auto"/>
        </w:rPr>
        <w:t>Interest rate caps</w:t>
      </w:r>
      <w:r>
        <w:rPr>
          <w:rFonts w:ascii="Arial" w:cs="Arial" w:eastAsia="Arial" w:hAnsi="Arial"/>
          <w:sz w:val="16"/>
          <w:szCs w:val="16"/>
          <w:color w:val="auto"/>
        </w:rPr>
        <w:t>: The fair values of interest rate caps are derived from the interest rates prevalent in the market and future expectations of those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rates (Level 2 inputs). The Company determines the fair value of the investments based on quoted prices from third-party brokers. In April 2019, Option Care terminated its interest rate caps. See Note 13,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further discussion on the fair value of the interest rate caps.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December 31, 2019 or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8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INCENTIVE COMPENSATION</w:t>
      </w:r>
    </w:p>
    <w:p>
      <w:pPr>
        <w:spacing w:after="0" w:line="18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7"/>
          <w:szCs w:val="17"/>
          <w:b w:val="1"/>
          <w:bCs w:val="1"/>
          <w:color w:val="auto"/>
        </w:rPr>
        <w:t xml:space="preserve">Equity Incentive Plans </w:t>
      </w:r>
      <w:r>
        <w:rPr>
          <w:rFonts w:ascii="Arial" w:cs="Arial" w:eastAsia="Arial" w:hAnsi="Arial"/>
          <w:sz w:val="17"/>
          <w:szCs w:val="17"/>
          <w:color w:val="auto"/>
        </w:rPr>
        <w:t>— Under the Company’s 2018 Equity Incentive Plan (the “2018 Plan”), approved at the annual meeting by the BioScrip</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16,406,939 shares (4,101,735 equivalent shares after adjusting for the one share for four share reverse stock split) of common stock were initially authorized for issuance under the 2018 Plan.</w:t>
      </w:r>
    </w:p>
    <w:p>
      <w:pPr>
        <w:spacing w:after="0" w:line="16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Options granted under the 2018 Plan typically vest over a three-year period and, in certain instances, may fully vest upon a change in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of the Company. The options also typically have an exercise price that may not be less than 100% of its fair market value on the date of grant and are exercisable seven to ten years after the date of grant, subject to earlier termination in certain circumstances.</w:t>
      </w:r>
    </w:p>
    <w:p>
      <w:pPr>
        <w:spacing w:after="0" w:line="162"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Compensation expense from stock options is recognized on a straight-line basis over the requisite service period. During the year ended December 31, 2019, the Company recognized compensation expense related to stock options of $0.4 million. The Company did not recognize any compensation expense related to stock options prior to the Merger.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grant any options during the year ended December 31, 2019.</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 summary of stock option activity from the Merger Date through December 31, 2019 was as follows (all amounts adjusted for the one share for four share reverse stock split):</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2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Aggregate Intrinsic</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2780" w:type="dxa"/>
            <w:vAlign w:val="bottom"/>
          </w:tcPr>
          <w:p>
            <w:pPr>
              <w:spacing w:after="0"/>
              <w:rPr>
                <w:sz w:val="20"/>
                <w:szCs w:val="20"/>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12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(thousands)</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r>
      <w:tr>
        <w:trPr>
          <w:trHeight w:val="27"/>
        </w:trPr>
        <w:tc>
          <w:tcPr>
            <w:tcW w:w="2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180"/>
              <w:spacing w:after="0"/>
              <w:rPr>
                <w:sz w:val="20"/>
                <w:szCs w:val="20"/>
                <w:color w:val="auto"/>
              </w:rPr>
            </w:pPr>
            <w:r>
              <w:rPr>
                <w:rFonts w:ascii="Arial" w:cs="Arial" w:eastAsia="Arial" w:hAnsi="Arial"/>
                <w:sz w:val="18"/>
                <w:szCs w:val="18"/>
                <w:color w:val="auto"/>
              </w:rPr>
              <w:t>Acquired in Merger</w:t>
            </w:r>
          </w:p>
        </w:tc>
        <w:tc>
          <w:tcPr>
            <w:tcW w:w="1300" w:type="dxa"/>
            <w:vAlign w:val="bottom"/>
          </w:tcPr>
          <w:p>
            <w:pPr>
              <w:jc w:val="right"/>
              <w:spacing w:after="0"/>
              <w:rPr>
                <w:sz w:val="20"/>
                <w:szCs w:val="20"/>
                <w:color w:val="auto"/>
              </w:rPr>
            </w:pPr>
            <w:r>
              <w:rPr>
                <w:rFonts w:ascii="Arial" w:cs="Arial" w:eastAsia="Arial" w:hAnsi="Arial"/>
                <w:sz w:val="18"/>
                <w:szCs w:val="18"/>
                <w:color w:val="auto"/>
              </w:rPr>
              <w:t>812,565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(158,270)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 and expired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r>
      <w:tr>
        <w:trPr>
          <w:trHeight w:val="297"/>
        </w:trPr>
        <w:tc>
          <w:tcPr>
            <w:tcW w:w="2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2019</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644,975</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w w:val="89"/>
              </w:rPr>
              <w:t>2.4 years</w:t>
            </w:r>
          </w:p>
        </w:tc>
      </w:tr>
      <w:tr>
        <w:trPr>
          <w:trHeight w:val="251"/>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Exercisable at December 31, 2019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597,856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w w:val="89"/>
              </w:rPr>
              <w:t>1.9 years</w:t>
            </w:r>
          </w:p>
        </w:tc>
      </w:tr>
      <w:tr>
        <w:trPr>
          <w:trHeight w:val="20"/>
        </w:trPr>
        <w:tc>
          <w:tcPr>
            <w:tcW w:w="2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During the year ended December 31, 2019, shares were surrendered to satisfy tax withholding obligations on the exercise of stock options with a cost basis of $0.4 million, which are all held as treasury stock as of December 31, 2019. No cash was received from stock option exercises under share-based payment arrangements for the years ended December 31, 2019, 2018 or 2017.</w:t>
      </w:r>
    </w:p>
    <w:p>
      <w:pPr>
        <w:spacing w:after="0" w:line="10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maximum term of stock options under these plans is ten years. Options outstanding as of December 31, 2019 expire on various dates ranging from February 2020 through November 2028. The following table outlines the outstanding and exercisable stock options as of December 31, 2019 (all amounts adjusted for the one share for four share reverse stock split):</w:t>
      </w: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122" w:right="3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Range of</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Option Exercise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Weighted Average</w:t>
            </w:r>
          </w:p>
        </w:tc>
      </w:tr>
      <w:tr>
        <w:trPr>
          <w:trHeight w:val="234"/>
        </w:trPr>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Exercisable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$0.00 - $8.24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139,168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 year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135,867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rPr>
              <w:t>$8.24 - $16.52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295,224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3.7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251,406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7"/>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$16.52 - $24.76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 years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w w:val="99"/>
              </w:rPr>
              <w:t>$24.76 - $33.00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148,333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28.57</w:t>
            </w: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0.8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148,333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28.57</w:t>
            </w:r>
          </w:p>
        </w:tc>
      </w:tr>
      <w:tr>
        <w:trPr>
          <w:trHeight w:val="27"/>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$33.00 - $41.28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w w:val="99"/>
              </w:rPr>
              <w:t>$41.28 - $49.52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18,750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44.16</w:t>
            </w:r>
          </w:p>
        </w:tc>
        <w:tc>
          <w:tcPr>
            <w:tcW w:w="12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3.2 years</w:t>
            </w:r>
          </w:p>
        </w:tc>
        <w:tc>
          <w:tcPr>
            <w:tcW w:w="1460" w:type="dxa"/>
            <w:vAlign w:val="bottom"/>
          </w:tcPr>
          <w:p>
            <w:pPr>
              <w:jc w:val="right"/>
              <w:spacing w:after="0"/>
              <w:rPr>
                <w:sz w:val="20"/>
                <w:szCs w:val="20"/>
                <w:color w:val="auto"/>
              </w:rPr>
            </w:pPr>
            <w:r>
              <w:rPr>
                <w:rFonts w:ascii="Arial" w:cs="Arial" w:eastAsia="Arial" w:hAnsi="Arial"/>
                <w:sz w:val="18"/>
                <w:szCs w:val="18"/>
                <w:color w:val="auto"/>
              </w:rPr>
              <w:t>18,750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44.16</w:t>
            </w:r>
          </w:p>
        </w:tc>
      </w:tr>
      <w:tr>
        <w:trPr>
          <w:trHeight w:val="27"/>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$49.52 - $57.76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 years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r>
      <w:tr>
        <w:trPr>
          <w:trHeight w:val="243"/>
        </w:trPr>
        <w:tc>
          <w:tcPr>
            <w:tcW w:w="1300" w:type="dxa"/>
            <w:vAlign w:val="bottom"/>
          </w:tcPr>
          <w:p>
            <w:pPr>
              <w:ind w:left="20"/>
              <w:spacing w:after="0"/>
              <w:rPr>
                <w:sz w:val="20"/>
                <w:szCs w:val="20"/>
                <w:color w:val="auto"/>
              </w:rPr>
            </w:pPr>
            <w:r>
              <w:rPr>
                <w:rFonts w:ascii="Arial" w:cs="Arial" w:eastAsia="Arial" w:hAnsi="Arial"/>
                <w:sz w:val="18"/>
                <w:szCs w:val="18"/>
                <w:color w:val="auto"/>
                <w:w w:val="99"/>
              </w:rPr>
              <w:t>$57.76 - $66.00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$66.00 - $74.28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 years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66.52</w:t>
            </w:r>
          </w:p>
        </w:tc>
      </w:tr>
      <w:tr>
        <w:trPr>
          <w:trHeight w:val="257"/>
        </w:trPr>
        <w:tc>
          <w:tcPr>
            <w:tcW w:w="1400" w:type="dxa"/>
            <w:vAlign w:val="bottom"/>
            <w:gridSpan w:val="2"/>
          </w:tcPr>
          <w:p>
            <w:pPr>
              <w:ind w:left="260"/>
              <w:spacing w:after="0"/>
              <w:rPr>
                <w:sz w:val="20"/>
                <w:szCs w:val="20"/>
                <w:color w:val="auto"/>
              </w:rPr>
            </w:pPr>
            <w:r>
              <w:rPr>
                <w:rFonts w:ascii="Arial" w:cs="Arial" w:eastAsia="Arial" w:hAnsi="Arial"/>
                <w:sz w:val="18"/>
                <w:szCs w:val="18"/>
                <w:color w:val="auto"/>
              </w:rPr>
              <w:t>All options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As of December 31, 2019, there was $0.2 million of unrecognized compensation expense related to unvested option grants that is expected to be recognized over a weighted-average period of 1.5 years.</w:t>
      </w:r>
    </w:p>
    <w:p>
      <w:pPr>
        <w:spacing w:after="0" w:line="85" w:lineRule="exact"/>
        <w:rPr>
          <w:sz w:val="20"/>
          <w:szCs w:val="20"/>
          <w:color w:val="auto"/>
        </w:rPr>
      </w:pPr>
    </w:p>
    <w:p>
      <w:pPr>
        <w:ind w:right="20" w:firstLine="324"/>
        <w:spacing w:after="0" w:line="289" w:lineRule="auto"/>
        <w:rPr>
          <w:sz w:val="20"/>
          <w:szCs w:val="20"/>
          <w:color w:val="auto"/>
        </w:rPr>
      </w:pPr>
      <w:r>
        <w:rPr>
          <w:rFonts w:ascii="Arial" w:cs="Arial" w:eastAsia="Arial" w:hAnsi="Arial"/>
          <w:sz w:val="17"/>
          <w:szCs w:val="17"/>
          <w:b w:val="1"/>
          <w:bCs w:val="1"/>
          <w:color w:val="auto"/>
        </w:rPr>
        <w:t xml:space="preserve">Restricted Stock </w:t>
      </w:r>
      <w:r>
        <w:rPr>
          <w:rFonts w:ascii="Arial" w:cs="Arial" w:eastAsia="Arial" w:hAnsi="Arial"/>
          <w:sz w:val="17"/>
          <w:szCs w:val="17"/>
          <w:color w:val="auto"/>
        </w:rPr>
        <w:t>— Restricted stock grants subject solely to an employee’s continued service with the Company generally will become fully vested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one to three years from the grant date and, in certain instances, may fully vest upon a change in control of the Company. Restricted stock grants subject solely to a Director’s continued service with the Company generally will become fully vested within one year from the date of grant.</w:t>
      </w:r>
    </w:p>
    <w:p>
      <w:pPr>
        <w:spacing w:after="0" w:line="16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Compensation expense from restricted stock is recognized on a straight-line basis over the requisite service period. During the year ended December 31, 2019, the Company recognized compensation expense related to restricted stock awards of $1.9 million. The Company did not recognize any compensation expense related to restricted stock awards prior to the Merger.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award activity from the Merger Date through December 31, 2019 was as follows:</w:t>
      </w:r>
    </w:p>
    <w:p>
      <w:pPr>
        <w:spacing w:after="0" w:line="302"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3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35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5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160"/>
              <w:spacing w:after="0"/>
              <w:rPr>
                <w:sz w:val="20"/>
                <w:szCs w:val="20"/>
                <w:color w:val="auto"/>
              </w:rPr>
            </w:pPr>
            <w:r>
              <w:rPr>
                <w:rFonts w:ascii="Arial" w:cs="Arial" w:eastAsia="Arial" w:hAnsi="Arial"/>
                <w:sz w:val="18"/>
                <w:szCs w:val="18"/>
                <w:color w:val="auto"/>
              </w:rPr>
              <w:t>Acquired in Merger (1)</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280,120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7"/>
        </w:trPr>
        <w:tc>
          <w:tcPr>
            <w:tcW w:w="3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169,123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43"/>
        </w:trPr>
        <w:tc>
          <w:tcPr>
            <w:tcW w:w="3580" w:type="dxa"/>
            <w:vAlign w:val="bottom"/>
          </w:tcPr>
          <w:p>
            <w:pPr>
              <w:ind w:left="160"/>
              <w:spacing w:after="0"/>
              <w:rPr>
                <w:sz w:val="20"/>
                <w:szCs w:val="20"/>
                <w:color w:val="auto"/>
              </w:rPr>
            </w:pPr>
            <w:r>
              <w:rPr>
                <w:rFonts w:ascii="Arial" w:cs="Arial" w:eastAsia="Arial" w:hAnsi="Arial"/>
                <w:sz w:val="18"/>
                <w:szCs w:val="18"/>
                <w:color w:val="auto"/>
              </w:rPr>
              <w:t>Vested and issued (1)</w:t>
            </w:r>
          </w:p>
        </w:tc>
        <w:tc>
          <w:tcPr>
            <w:tcW w:w="1820" w:type="dxa"/>
            <w:vAlign w:val="bottom"/>
          </w:tcPr>
          <w:p>
            <w:pPr>
              <w:jc w:val="right"/>
              <w:spacing w:after="0"/>
              <w:rPr>
                <w:sz w:val="20"/>
                <w:szCs w:val="20"/>
                <w:color w:val="auto"/>
              </w:rPr>
            </w:pPr>
            <w:r>
              <w:rPr>
                <w:rFonts w:ascii="Arial" w:cs="Arial" w:eastAsia="Arial" w:hAnsi="Arial"/>
                <w:sz w:val="18"/>
                <w:szCs w:val="18"/>
                <w:color w:val="auto"/>
              </w:rPr>
              <w:t>(214,926)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7"/>
        </w:trPr>
        <w:tc>
          <w:tcPr>
            <w:tcW w:w="3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 and expired (1)</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r>
      <w:tr>
        <w:trPr>
          <w:trHeight w:val="257"/>
        </w:trPr>
        <w:tc>
          <w:tcPr>
            <w:tcW w:w="358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231,562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0"/>
        </w:trPr>
        <w:tc>
          <w:tcPr>
            <w:tcW w:w="35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00" w:firstLine="332"/>
        <w:spacing w:after="0" w:line="277"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Weighted average grant date fair value was calculated as $2.67 stock price on the August 6, 2019 Merger Date, multiplied by four to adjust for the one share for four share reverse stock split.</w:t>
      </w:r>
    </w:p>
    <w:p>
      <w:pPr>
        <w:spacing w:after="0" w:line="8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the year ended December 31, 2019, shares were surrendered to satisfy tax withholding obligations on the vesting of restricted stock awards with a cost basis of $2.1 million, of which $2.0 million is held as treasury stock as of December 31, 2019.</w:t>
      </w:r>
    </w:p>
    <w:p>
      <w:pPr>
        <w:spacing w:after="0" w:line="8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December 31, 2019, there was $2.4 million in unrecognized compensation expense related to unvested restricted stock awards that is expected to be recognized over a weighted average period of 2.7 years. The total fair value of restricted stock awards vested during the years ended December 31, 2019, 2018 and 2017 was $1.9 million, $0 and $0, respectively.</w:t>
      </w:r>
    </w:p>
    <w:p>
      <w:pPr>
        <w:spacing w:after="0" w:line="96"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 xml:space="preserve">HC I Incentive Units </w:t>
      </w:r>
      <w:r>
        <w:rPr>
          <w:rFonts w:ascii="Arial" w:cs="Arial" w:eastAsia="Arial" w:hAnsi="Arial"/>
          <w:sz w:val="18"/>
          <w:szCs w:val="18"/>
          <w:color w:val="auto"/>
        </w:rPr>
        <w:t>— Beginning in October 2015, HC I implemented an equity incentive plan for certain officers and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units are equity-based awards subject to time and performance vesting restrictions. The compensation expense related to this plan has been reflected in the Company’s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 xml:space="preserve">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compensation expense is recognized on a straight-line basis over the vesting period of the award or the employee’s retirement eligible date, if earlier. During the years ended December 31, 2019, 2018 and 2017, the Company recognized compensation expense related to the HC I incentive units of $1.9 million, $2.1 million and $1.4 million, respectively.</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fair value of each award was determined using a Monte-Carlo simulation with the following weighted average assumptions used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360" w:lineRule="exact"/>
        <w:rPr>
          <w:sz w:val="20"/>
          <w:szCs w:val="20"/>
          <w:color w:val="auto"/>
        </w:rPr>
      </w:pPr>
    </w:p>
    <w:tbl>
      <w:tblPr>
        <w:tblLayout w:type="fixed"/>
        <w:tblInd w:w="2260" w:type="dxa"/>
        <w:tblCellMar>
          <w:top w:w="0" w:type="dxa"/>
          <w:left w:w="0" w:type="dxa"/>
          <w:bottom w:w="0" w:type="dxa"/>
          <w:right w:w="0" w:type="dxa"/>
        </w:tblCellMar>
      </w:tblP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 (1)</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Average time to liquidity (years) (2)</w:t>
            </w: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2.13</w:t>
            </w:r>
          </w:p>
        </w:tc>
      </w:tr>
      <w:tr>
        <w:trPr>
          <w:trHeight w:val="27"/>
        </w:trPr>
        <w:tc>
          <w:tcPr>
            <w:tcW w:w="4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Discount for lack of marketability (4)</w:t>
            </w:r>
          </w:p>
        </w:tc>
        <w:tc>
          <w:tcPr>
            <w:tcW w:w="19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7"/>
        </w:trPr>
        <w:tc>
          <w:tcPr>
            <w:tcW w:w="4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49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2540" w:hanging="250"/>
        <w:spacing w:after="0"/>
        <w:tabs>
          <w:tab w:leader="none" w:pos="2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the US Treasury security rate for the expected time to liquidity event.</w:t>
      </w:r>
    </w:p>
    <w:p>
      <w:pPr>
        <w:spacing w:after="0" w:line="63" w:lineRule="exact"/>
        <w:rPr>
          <w:rFonts w:ascii="Arial" w:cs="Arial" w:eastAsia="Arial" w:hAnsi="Arial"/>
          <w:sz w:val="18"/>
          <w:szCs w:val="18"/>
          <w:color w:val="auto"/>
        </w:rPr>
      </w:pPr>
    </w:p>
    <w:p>
      <w:pPr>
        <w:ind w:left="2540" w:hanging="250"/>
        <w:spacing w:after="0"/>
        <w:tabs>
          <w:tab w:leader="none" w:pos="2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the period of time expected prior to liquidity event.</w:t>
      </w:r>
    </w:p>
    <w:p>
      <w:pPr>
        <w:spacing w:after="0" w:line="63" w:lineRule="exact"/>
        <w:rPr>
          <w:rFonts w:ascii="Arial" w:cs="Arial" w:eastAsia="Arial" w:hAnsi="Arial"/>
          <w:sz w:val="18"/>
          <w:szCs w:val="18"/>
          <w:color w:val="auto"/>
        </w:rPr>
      </w:pPr>
    </w:p>
    <w:p>
      <w:pPr>
        <w:ind w:left="2540" w:hanging="250"/>
        <w:spacing w:after="0"/>
        <w:tabs>
          <w:tab w:leader="none" w:pos="2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historical volatility of comparable public companies.</w:t>
      </w:r>
    </w:p>
    <w:p>
      <w:pPr>
        <w:spacing w:after="0" w:line="63" w:lineRule="exact"/>
        <w:rPr>
          <w:rFonts w:ascii="Arial" w:cs="Arial" w:eastAsia="Arial" w:hAnsi="Arial"/>
          <w:sz w:val="18"/>
          <w:szCs w:val="18"/>
          <w:color w:val="auto"/>
        </w:rPr>
      </w:pPr>
    </w:p>
    <w:p>
      <w:pPr>
        <w:ind w:left="2540" w:hanging="250"/>
        <w:spacing w:after="0"/>
        <w:tabs>
          <w:tab w:leader="none" w:pos="2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Represents a discount taken to reflect the private nature of the investment.</w:t>
      </w:r>
    </w:p>
    <w:p>
      <w:pPr>
        <w:spacing w:after="0" w:line="248" w:lineRule="exact"/>
        <w:rPr>
          <w:rFonts w:ascii="Arial" w:cs="Arial" w:eastAsia="Arial" w:hAnsi="Arial"/>
          <w:sz w:val="18"/>
          <w:szCs w:val="18"/>
          <w:color w:val="auto"/>
        </w:rPr>
      </w:pPr>
    </w:p>
    <w:p>
      <w:pPr>
        <w:ind w:left="280" w:hanging="272"/>
        <w:spacing w:after="0"/>
        <w:tabs>
          <w:tab w:leader="none" w:pos="2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ectPr>
          <w:pgSz w:w="11900" w:h="16838" w:orient="portrait"/>
          <w:cols w:equalWidth="0" w:num="1">
            <w:col w:w="11420"/>
          </w:cols>
          <w:pgMar w:left="240" w:top="122" w:right="239" w:bottom="1440" w:gutter="0" w:footer="0" w:header="0"/>
        </w:sectPr>
      </w:pP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further discussed in Note 20, common shares, warrants and stock financial statements.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firstLine="55"/>
        <w:spacing w:after="0" w:line="342" w:lineRule="auto"/>
        <w:rPr>
          <w:sz w:val="20"/>
          <w:szCs w:val="20"/>
          <w:color w:val="auto"/>
        </w:rPr>
      </w:pPr>
      <w:r>
        <w:rPr>
          <w:rFonts w:ascii="Arial" w:cs="Arial" w:eastAsia="Arial" w:hAnsi="Arial"/>
          <w:sz w:val="16"/>
          <w:szCs w:val="16"/>
          <w:i w:val="1"/>
          <w:iCs w:val="1"/>
          <w:color w:val="auto"/>
        </w:rPr>
        <w:t>Subsequent Events</w:t>
      </w:r>
      <w:r>
        <w:rPr>
          <w:rFonts w:ascii="Arial" w:cs="Arial" w:eastAsia="Arial" w:hAnsi="Arial"/>
          <w:sz w:val="16"/>
          <w:szCs w:val="16"/>
          <w:color w:val="auto"/>
        </w:rPr>
        <w:t>, on February 3, 2020, the Company completed a one share for four share reverse stock split. All</w:t>
      </w:r>
      <w:r>
        <w:rPr>
          <w:rFonts w:ascii="Arial" w:cs="Arial" w:eastAsia="Arial" w:hAnsi="Arial"/>
          <w:sz w:val="16"/>
          <w:szCs w:val="16"/>
          <w:i w:val="1"/>
          <w:iCs w:val="1"/>
          <w:color w:val="auto"/>
        </w:rPr>
        <w:t xml:space="preserve"> </w:t>
      </w:r>
      <w:r>
        <w:rPr>
          <w:rFonts w:ascii="Arial" w:cs="Arial" w:eastAsia="Arial" w:hAnsi="Arial"/>
          <w:sz w:val="16"/>
          <w:szCs w:val="16"/>
          <w:color w:val="auto"/>
        </w:rPr>
        <w:t>awards have been retrospectively adjusted for the reverse stock split for all periods presented in these consolidated</w:t>
      </w:r>
    </w:p>
    <w:p>
      <w:pPr>
        <w:spacing w:after="0" w:line="295" w:lineRule="exact"/>
        <w:rPr>
          <w:sz w:val="20"/>
          <w:szCs w:val="20"/>
          <w:color w:val="auto"/>
        </w:rPr>
      </w:pPr>
    </w:p>
    <w:p>
      <w:pPr>
        <w:sectPr>
          <w:pgSz w:w="11900" w:h="16838" w:orient="portrait"/>
          <w:cols w:equalWidth="0" w:num="2">
            <w:col w:w="2740" w:space="0"/>
            <w:col w:w="8680"/>
          </w:cols>
          <w:pgMar w:left="240" w:top="122" w:right="239" w:bottom="1440" w:gutter="0" w:footer="0" w:header="0"/>
          <w:type w:val="continuous"/>
        </w:sectPr>
      </w:pPr>
    </w:p>
    <w:p>
      <w:pPr>
        <w:ind w:firstLine="324"/>
        <w:spacing w:after="0" w:line="270" w:lineRule="auto"/>
        <w:rPr>
          <w:sz w:val="20"/>
          <w:szCs w:val="20"/>
          <w:color w:val="auto"/>
        </w:rPr>
      </w:pPr>
      <w:r>
        <w:rPr>
          <w:rFonts w:ascii="Arial" w:cs="Arial" w:eastAsia="Arial" w:hAnsi="Arial"/>
          <w:sz w:val="17"/>
          <w:szCs w:val="17"/>
          <w:b w:val="1"/>
          <w:bCs w:val="1"/>
          <w:color w:val="auto"/>
        </w:rPr>
        <w:t xml:space="preserve">2017 Warrants </w:t>
      </w:r>
      <w:r>
        <w:rPr>
          <w:rFonts w:ascii="Arial" w:cs="Arial" w:eastAsia="Arial" w:hAnsi="Arial"/>
          <w:sz w:val="17"/>
          <w:szCs w:val="17"/>
          <w:color w:val="auto"/>
        </w:rPr>
        <w:t>— Prior to the Merger, BioScrip issued warrants to certain debt holders pursuant to a Warrant Purchase Agreement dated as of June 29,</w:t>
      </w:r>
      <w:r>
        <w:rPr>
          <w:rFonts w:ascii="Arial" w:cs="Arial" w:eastAsia="Arial" w:hAnsi="Arial"/>
          <w:sz w:val="17"/>
          <w:szCs w:val="17"/>
          <w:b w:val="1"/>
          <w:bCs w:val="1"/>
          <w:color w:val="auto"/>
        </w:rPr>
        <w:t xml:space="preserve"> </w:t>
      </w:r>
      <w:r>
        <w:rPr>
          <w:rFonts w:ascii="Arial" w:cs="Arial" w:eastAsia="Arial" w:hAnsi="Arial"/>
          <w:sz w:val="17"/>
          <w:szCs w:val="17"/>
          <w:color w:val="auto"/>
        </w:rPr>
        <w:t>2017. In conjunction with the Merger, the 2017 Warrants were amended to entitle the purchasers of the warrants to purchase 8.3 million shares (2.1 million equivalent shares after adjusting for the reverse stock split) of common stock. The 2017 Warrants have a 10-year term and an exercise price of $2.00 per share ($8.00 per share after adjusting for the reverse stock split), and may be exercised by payment of the exercise price in cash or surrender of shares of common stock into which the 2017 Warrants are being converted in an aggregate amount sufficient to pay the exercise price. The 2017 Warrants are classified as equity instruments, and the fair value of these warrants of $14.1 million was recorded in paid-in capital as of the Merger Date. Subsequent to the Merger Date through December 31, 2019, warrant holders exercised warrants to purchase 2.6 million shares (0.7 million equivalent shares after adjusting for the reverse stock split) of common stock. No proceeds were received from these exercises as the warrant holders elected to surrender shares to pay the exercise price. At December 31, 2019, the remaining warrant holders are entitled to purchase 5.7 million shares (1.4 million equivalent shares after adjusting for the reverse stock split) of common stock.</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7"/>
          <w:szCs w:val="17"/>
          <w:b w:val="1"/>
          <w:bCs w:val="1"/>
          <w:color w:val="auto"/>
        </w:rPr>
        <w:t xml:space="preserve">2015 Warrants </w:t>
      </w:r>
      <w:r>
        <w:rPr>
          <w:rFonts w:ascii="Arial" w:cs="Arial" w:eastAsia="Arial" w:hAnsi="Arial"/>
          <w:sz w:val="17"/>
          <w:szCs w:val="17"/>
          <w:color w:val="auto"/>
        </w:rPr>
        <w:t>— Prior to the Merger, BioScrip issued warrants pursuant to a Common Stock Warrant Agreement dated as of March 9, 2015 which</w:t>
      </w:r>
      <w:r>
        <w:rPr>
          <w:rFonts w:ascii="Arial" w:cs="Arial" w:eastAsia="Arial" w:hAnsi="Arial"/>
          <w:sz w:val="17"/>
          <w:szCs w:val="17"/>
          <w:b w:val="1"/>
          <w:bCs w:val="1"/>
          <w:color w:val="auto"/>
        </w:rPr>
        <w:t xml:space="preserve"> </w:t>
      </w:r>
      <w:r>
        <w:rPr>
          <w:rFonts w:ascii="Arial" w:cs="Arial" w:eastAsia="Arial" w:hAnsi="Arial"/>
          <w:sz w:val="17"/>
          <w:szCs w:val="17"/>
          <w:color w:val="auto"/>
        </w:rPr>
        <w:t>entitle the holders to purchase 3.7 million shares (0.9 million equivalent shares after adjusting for the reverse stock split) of common stock. The 2015 Warrants have a 10-year term and have exercise prices in a range of $5.17 per share to $6.45 per share ($20.68 per share to $25.80 per share after adjusting for the reverse stock split). The 2015 Warrants were assumed by the Company in conjunction with the Merger and are classified as equity instruments, and the fair value of these warrants of $4.6 million was recorded in paid in capital as of the Merger Date.</w:t>
      </w:r>
    </w:p>
    <w:p>
      <w:pPr>
        <w:spacing w:after="0" w:line="16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color w:val="auto"/>
        </w:rPr>
        <w:t xml:space="preserve">Home Solutions Restricted Stock </w:t>
      </w:r>
      <w:r>
        <w:rPr>
          <w:rFonts w:ascii="Arial" w:cs="Arial" w:eastAsia="Arial" w:hAnsi="Arial"/>
          <w:sz w:val="16"/>
          <w:szCs w:val="16"/>
          <w:color w:val="auto"/>
        </w:rPr>
        <w:t>— In conjunction with BioScrip’s 2016 acquisition of Home Solutions, Inc., 7.1 million (1.8 million equivalent shares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after adjusting for the reverse stock split) restricted shares of common stock were issued, of which 3.1 million (0.8 million equivalent shares after adjusting for the reverse stock split) of these units vest upon the closing price of the Company’s common stock averaging at or above $4.00 per share ($16.00 per share after adjusting for the reverse stock split) over 20 consecutive trading days prior to December 31, 2019 and 4.0 million (1.0 million equivalent shares after adjusting for the reverse stock split) of these units vest upon the closing price of the Company’s common stock averaging at or above $5.00 per share ($20.00 per share after adjusting for the reverse stock split) over 20 consecutive trading days prior to December 31, 2019. The restricted stock expired on December 31, 2019. As discussed in Note 1, </w:t>
      </w:r>
      <w:r>
        <w:rPr>
          <w:rFonts w:ascii="Arial" w:cs="Arial" w:eastAsia="Arial" w:hAnsi="Arial"/>
          <w:sz w:val="16"/>
          <w:szCs w:val="16"/>
          <w:i w:val="1"/>
          <w:iCs w:val="1"/>
          <w:color w:val="auto"/>
        </w:rPr>
        <w:t>Nature of Operations and Presentation of Financial Statements</w:t>
      </w:r>
      <w:r>
        <w:rPr>
          <w:rFonts w:ascii="Arial" w:cs="Arial" w:eastAsia="Arial" w:hAnsi="Arial"/>
          <w:sz w:val="16"/>
          <w:szCs w:val="16"/>
          <w:color w:val="auto"/>
        </w:rPr>
        <w:t>, 28,193,428 common shares (7,048,357 equivalent shares after adjusting for the reverse stock split) issued to HC I in conjunction with the Merger are held in escrow to prevent dilution related to the vesting of the Home Solutions restricted stock. In the event the Home Solutions restricted stock expires unvested, the 28,193,428 common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shares (7,048,357 equivalent shares after adjusting for the reverse stock split) held in escrow will be returned to the Company and canceled. As of December 31, 2019, the Home Solutions restricted stock remained in escrow pending final resolution of this matter.</w:t>
      </w:r>
    </w:p>
    <w:p>
      <w:pPr>
        <w:spacing w:after="0" w:line="166" w:lineRule="exact"/>
        <w:rPr>
          <w:sz w:val="20"/>
          <w:szCs w:val="20"/>
          <w:color w:val="auto"/>
        </w:rPr>
      </w:pPr>
    </w:p>
    <w:p>
      <w:pPr>
        <w:ind w:right="300" w:firstLine="324"/>
        <w:spacing w:after="0" w:line="303" w:lineRule="auto"/>
        <w:rPr>
          <w:sz w:val="20"/>
          <w:szCs w:val="20"/>
          <w:color w:val="auto"/>
        </w:rPr>
      </w:pPr>
      <w:r>
        <w:rPr>
          <w:rFonts w:ascii="Arial" w:cs="Arial" w:eastAsia="Arial" w:hAnsi="Arial"/>
          <w:sz w:val="16"/>
          <w:szCs w:val="16"/>
          <w:b w:val="1"/>
          <w:bCs w:val="1"/>
          <w:color w:val="auto"/>
        </w:rPr>
        <w:t xml:space="preserve">Treasury Stock </w:t>
      </w:r>
      <w:r>
        <w:rPr>
          <w:rFonts w:ascii="Arial" w:cs="Arial" w:eastAsia="Arial" w:hAnsi="Arial"/>
          <w:sz w:val="16"/>
          <w:szCs w:val="16"/>
          <w:color w:val="auto"/>
        </w:rPr>
        <w:t>— During the year ended December 31, 2019, 1,160,469 shares (290,117 equivalent shares after adjusting for the reverse stock split)</w:t>
      </w:r>
      <w:r>
        <w:rPr>
          <w:rFonts w:ascii="Arial" w:cs="Arial" w:eastAsia="Arial" w:hAnsi="Arial"/>
          <w:sz w:val="16"/>
          <w:szCs w:val="16"/>
          <w:b w:val="1"/>
          <w:bCs w:val="1"/>
          <w:color w:val="auto"/>
        </w:rPr>
        <w:t xml:space="preserve"> </w:t>
      </w:r>
      <w:r>
        <w:rPr>
          <w:rFonts w:ascii="Arial" w:cs="Arial" w:eastAsia="Arial" w:hAnsi="Arial"/>
          <w:sz w:val="16"/>
          <w:szCs w:val="16"/>
          <w:color w:val="auto"/>
        </w:rPr>
        <w:t>were surrendered to satisfy tax withholding obligations on the exercise of stock options and the vesting of restricted stock awards with a cost basis of $2.5 million, of which $2.4 million remains held in treasury as of December 31, 2019. At December 31, 2019, the Company held 1,534,886 shares (383,722 equivalent shares after adjusting for the reverse stock split) of treasury stock. No treasury stock existed prior to the Merger.</w:t>
      </w:r>
    </w:p>
    <w:p>
      <w:pPr>
        <w:spacing w:after="0" w:line="151"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In conjunction with the Merger, all legacy BioScrip preferred stock was settled, and no preferred stock is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 There was no preferred stock existing as of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RELATED-PARTY TRANSACTIONS</w:t>
      </w:r>
    </w:p>
    <w:p>
      <w:pPr>
        <w:spacing w:after="0" w:line="185" w:lineRule="exact"/>
        <w:rPr>
          <w:sz w:val="20"/>
          <w:szCs w:val="20"/>
          <w:color w:val="auto"/>
        </w:rPr>
      </w:pPr>
    </w:p>
    <w:p>
      <w:pPr>
        <w:ind w:firstLine="324"/>
        <w:spacing w:after="0" w:line="292" w:lineRule="auto"/>
        <w:rPr>
          <w:sz w:val="20"/>
          <w:szCs w:val="20"/>
          <w:color w:val="auto"/>
        </w:rPr>
      </w:pPr>
      <w:r>
        <w:rPr>
          <w:rFonts w:ascii="Arial" w:cs="Arial" w:eastAsia="Arial" w:hAnsi="Arial"/>
          <w:sz w:val="16"/>
          <w:szCs w:val="16"/>
          <w:b w:val="1"/>
          <w:bCs w:val="1"/>
          <w:color w:val="auto"/>
        </w:rPr>
        <w:t xml:space="preserve">Management Services </w:t>
      </w:r>
      <w:r>
        <w:rPr>
          <w:rFonts w:ascii="Arial" w:cs="Arial" w:eastAsia="Arial" w:hAnsi="Arial"/>
          <w:sz w:val="16"/>
          <w:szCs w:val="16"/>
          <w:color w:val="auto"/>
        </w:rPr>
        <w:t>— In conjunction with the Option Care Acquisition, the Company entered into two separate Management Services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Madison Dearborn Partners VI-B, L.P. and Walgreen Co. Each Management Services Agreement required the Company to pay $0.3 million to each party quarterly beginning July 1, 2015 for on-going management, consulting and financial services provided to the Company. Following the close of the Merger, both Management Services Agreements were terminated. In 2019, prior to the Merger, the Company incurred $1.5 million of management services expense, which has been reflected as a component of selling, general and administrative expense in the consolidated statements of comprehensive income (loss) for the year ended December 31, 2019. During the years ended December 31, 2018 and 2017, management services expense of $2.0 million was recorded as a component of selling, general, and administrative expense in the consolidated statements of comprehensive income (loss).</w:t>
      </w:r>
    </w:p>
    <w:p>
      <w:pPr>
        <w:spacing w:after="0" w:line="162"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b w:val="1"/>
          <w:bCs w:val="1"/>
          <w:color w:val="auto"/>
        </w:rPr>
        <w:t xml:space="preserve">Management Equity Ownership Plan </w:t>
      </w:r>
      <w:r>
        <w:rPr>
          <w:rFonts w:ascii="Arial" w:cs="Arial" w:eastAsia="Arial" w:hAnsi="Arial"/>
          <w:sz w:val="16"/>
          <w:szCs w:val="16"/>
          <w:color w:val="auto"/>
        </w:rPr>
        <w:t>— In October 2015, HC I implemented an equity ownership and incentive plan for certain officers and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of Option Care. The officers were able to purchase membership units in HC I and could fund a portion of the purchase with a loan from Option Care. These loans were treated as a shareholder contribution in Option Care. For the year ended December 31, 2019, 2018 and 2017, $0, $0.4 million, and $0, respectively, were credited to paid-in capital related to HC I membership units purchased with a loan from Option Care. During the year ended December 31, 2019, shareholder redemptions totaled $2.4 million, comprised of a cash distribution to HC I of $2.0 million and notes redeemed of $0.4 million. There were no shareholder redemptions during the year ended December 31, 2018. During the year ended December 31, 2017, shareholder redemptions totaled $0.1 million for notes redeemed by the officers, which was treated as a shareholder redemption that reduced paid-in-capital.</w:t>
      </w:r>
    </w:p>
    <w:p>
      <w:pPr>
        <w:spacing w:after="0" w:line="16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During the year ended December 31, 2019, prior to the Merger, Option Care sold its notes receivable from management, along with all accrued interest expense, to a third-party bank. Option Care received cash proceeds of $1.3 million, which represented payment of $1.1 million in outstanding notes receivable from management and payment of $0.2 million in accrued interest expense. Notes receivable from management of $0 and $1.6 million remained outstanding as of December 31, 2019 and 2018, respectively. The notes receivable from management and associated interest receivable are recorded in management notes receivable as a reduction to equity on the Company’s consolidated balance sheets as of December 31, 2018.</w:t>
      </w:r>
    </w:p>
    <w:p>
      <w:pPr>
        <w:spacing w:after="0" w:line="169"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b w:val="1"/>
          <w:bCs w:val="1"/>
          <w:color w:val="auto"/>
        </w:rPr>
        <w:t xml:space="preserve">Transactions with Equity-Method Investees </w:t>
      </w:r>
      <w:r>
        <w:rPr>
          <w:rFonts w:ascii="Arial" w:cs="Arial" w:eastAsia="Arial" w:hAnsi="Arial"/>
          <w:sz w:val="18"/>
          <w:szCs w:val="18"/>
          <w:color w:val="auto"/>
        </w:rPr>
        <w:t>— The Company provides management services to its joint ventures such as accounting, invoicing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collections in addition to day-to-day managerial support of the operations of the businesses. The Company recorded management fee income of $2.5 million, $2.2 million and $1.3 million for the years ended December 31, 2019, 2018 and 2017, respectively. Management fees are recorded in net revenues in the accompanying consolidated statements of comprehensive income (loss).</w:t>
      </w:r>
    </w:p>
    <w:p>
      <w:pPr>
        <w:spacing w:after="0" w:line="184"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had amounts due to its joint ventures of $4.3 million as of December 31, 2019. The Company also had amounts due to its joint ventures of $0.9 million and amounts due from its joint ventures of $0.1 million as of December 31, 2018. These payables were included in accrued expenses and other current liabilities in the accompanying balance sheets and these receivables were included in prepaid expenses and other current assets in the accompanying balance sheets. These balances primarily relate to cash collections received by the Company on behalf of the joint ventures, offset by certain pharmaceutical inventories purchased by the Company on behalf of the joint ventures.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SELECTED QUARTERLY FINANCIAL DATA (UNAUDITED)</w:t>
      </w:r>
    </w:p>
    <w:p>
      <w:pPr>
        <w:spacing w:after="0" w:line="18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 summary of unaudited quarterly financial information for the years ended December 31, 2019 and 2018 is as follows (in thousands except per share amounts).</w:t>
      </w:r>
    </w:p>
    <w:p>
      <w:pPr>
        <w:spacing w:after="0" w:line="112"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First Quarter</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Second Quarter</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Fourth Quarter</w:t>
            </w: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476,492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497,266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615,880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720,779</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175,642</w:t>
            </w:r>
          </w:p>
        </w:tc>
      </w:tr>
      <w:tr>
        <w:trPr>
          <w:trHeight w:val="243"/>
        </w:trPr>
        <w:tc>
          <w:tcPr>
            <w:tcW w:w="312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13,973</w:t>
            </w: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(15,811)</w:t>
            </w:r>
          </w:p>
        </w:tc>
      </w:tr>
      <w:tr>
        <w:trPr>
          <w:trHeight w:val="324"/>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4"/>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per share, basic and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First Quarter</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Second Quarter</w:t>
            </w: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Third Quarter</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Fourth Quarter</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460,643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479,490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493,928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505,730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43"/>
        </w:trPr>
        <w:tc>
          <w:tcPr>
            <w:tcW w:w="31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13,548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income per share, basic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net loss in the third quarter of 2019 included transaction expenses, integration costs and loss on extinguishment of debt incurred in conjunction with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whether any subsequent events occurred since December 31, 2019 and noted the following subsequent events:</w:t>
      </w:r>
    </w:p>
    <w:p>
      <w:pPr>
        <w:spacing w:after="0" w:line="23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January 3, 2020, the Company’s board of directors and HC I, the stockholder of a majority of the Company’s common stock, approved a reverse stock split of the Company’s issued and outstanding common stock on a one share for four share basis and appropriately amended the Company’s Third Amended and Restated Certificate of Incorporation to reflect the change. On February 3, 2020, the reverse stock split became effective. In connection with the reverse stock split, the Company changed its ticker symbols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consolidated financial statements, which was retrospectively applied to all periods presented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December 31, 2019. Based on that evaluation, the Company’s Chief Executive Officer and its Chief Financial Officer concluded that our disclosure controls and procedures were effective as of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8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as defined in Rules 13a-15(f) and 15d-15(f) under the Exchange Act. Our internal control system is designed to provide reasonable assurance regarding the reliability of financial reporting and the preparation of the Company’s financial statements for external purposes in accordance with U.S. GAAP.</w:t>
      </w:r>
    </w:p>
    <w:p>
      <w:pPr>
        <w:spacing w:after="0" w:line="16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August 6, 2019, BioScrip and Option Care completed the Merger, and, after giving effect to the Merger, the stockholders of Option Care as of immediately prior to the Merger Date owned approximately 80% of BioScrip common stock on a fully diluted basis following the closing, and the stockholders of BioScrip as of immediately prior to the Merger Date owned approximately 20% of BioScrip common stock on a fully diluted basis following the closing. BioScrip was the legal acquirer in the Merger. Option Care was the accounting acquirer in the Merger under U.S. GAAP. Prior to the Merger, Option Care was a privately-held company and was not subject to Section 404 of the Sarbanes-Oxley Act (“SOX”), while BioScrip was a publicly-traded company subject to Section 404 of SOX. For all filings under the Exchange Act after the Merger, the historical financial statements for the period prior to the Merger are and will be those of Option Care. BioScrip’s businesses are and will be included in consolidated financial statements for all periods subsequent to the Merger.</w:t>
      </w:r>
    </w:p>
    <w:p>
      <w:pPr>
        <w:spacing w:after="0" w:line="19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As noted above, BioScrip was the legal acquirer in the Merger and subject to Section 404 of SOX. As of the date of its report, management was able to evaluate the effectiveness of the design and operation of our ongoing internal controls related to BioScrip. As the Merger occurred during the third quarter of 2019, and Option Care was the accounting acquirer and not previously subject to Section 404 of SOX, management concluded there was insufficient time to complete its assessment of the internal controls over financial reporting related to Option Care, and, therefore, Option Care internal control over financial reporting was excluded from our report on internal control over financial reporting.</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management, with the participation of the CEO and CFO, assessed the effectiveness of the Company’s internal control over financial reporting, by focusing on those controls that relate exclusively to ongoing BioScrip operations (covering approximately 13% of the revenue on the Consolidated Statements of Income for the year ended December 31, 2019 and 7% of the total assets on the Consolidated Balance Sheet as of December 31, 2019). Based on the criteria for effective internal control over financial reporting established in Internal Control - Integrated Framework (2013) issued by the Committee of Sponsoring Organizations of the Treadway Commission (“COSO”), management concluded that the internal control over financial reporting was effective as of December 31, 2019.</w:t>
      </w:r>
    </w:p>
    <w:p>
      <w:pPr>
        <w:spacing w:after="0" w:line="193"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Merger, which was completed on August 6, 2019, has had a material impact on the financial position, results of operations, and cash flows of the combined company from the date of acquisition through December 31 2019. The business combination also resulted in material changes in the combined company's internal controls over financial reporting. The Company is in the process of designing and integrating policies, processes, operations, technology, and other components of internal controls over financial reporting of the combined company. Management will monitor the implementation of new controls and test the operating effectiveness when instances are available in future periods.</w:t>
      </w:r>
    </w:p>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60"/>
          </w:cols>
          <w:pgMar w:left="240" w:top="122" w:right="39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 the Stockholders and Board of Directors</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Option Care Health, Inc.:</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left="80" w:right="80"/>
        <w:spacing w:after="0" w:line="257" w:lineRule="auto"/>
        <w:rPr>
          <w:sz w:val="20"/>
          <w:szCs w:val="20"/>
          <w:color w:val="auto"/>
        </w:rPr>
      </w:pPr>
      <w:r>
        <w:rPr>
          <w:rFonts w:ascii="Arial" w:cs="Arial" w:eastAsia="Arial" w:hAnsi="Arial"/>
          <w:sz w:val="18"/>
          <w:szCs w:val="18"/>
          <w:color w:val="auto"/>
        </w:rPr>
        <w:t xml:space="preserve">We have audited Option Care Health, Inc. and subsidiaries’ (the Company)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0" w:lineRule="exact"/>
        <w:rPr>
          <w:sz w:val="20"/>
          <w:szCs w:val="20"/>
          <w:color w:val="auto"/>
        </w:rPr>
      </w:pPr>
    </w:p>
    <w:p>
      <w:pPr>
        <w:ind w:left="80" w:right="8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comprehensive income (loss), stockholders’ equity, and cash flows for each of the years in the three-year period ended December 31, 2019, and the related notes (collectively, the consolidated financial statements), and our report dated March 5, 2020 expressed an unqualified opinion on those consolidated financial statements.</w:t>
      </w:r>
    </w:p>
    <w:p>
      <w:pPr>
        <w:spacing w:after="0" w:line="46" w:lineRule="exact"/>
        <w:rPr>
          <w:sz w:val="20"/>
          <w:szCs w:val="20"/>
          <w:color w:val="auto"/>
        </w:rPr>
      </w:pPr>
    </w:p>
    <w:p>
      <w:pPr>
        <w:ind w:left="80" w:right="140"/>
        <w:spacing w:after="0" w:line="255" w:lineRule="auto"/>
        <w:rPr>
          <w:sz w:val="20"/>
          <w:szCs w:val="20"/>
          <w:color w:val="auto"/>
        </w:rPr>
      </w:pPr>
      <w:r>
        <w:rPr>
          <w:rFonts w:ascii="Arial" w:cs="Arial" w:eastAsia="Arial" w:hAnsi="Arial"/>
          <w:sz w:val="18"/>
          <w:szCs w:val="18"/>
          <w:color w:val="auto"/>
        </w:rPr>
        <w:t>As described in the Management Report on Internal Control Over Financial Reporting, HC Group Holdings I, Inc. and HC Group Holdings II, Inc. (collectively, Option Care) merged with and into a wholly owned subsidiary of BioScrip, Inc. (BioScrip) on August 6, 2019, forming the Company, and management excluded from its assessment of the effectiveness of the Company’s internal control over financial reporting as of December 31, 2019, Option Care’s internal control over financial reporting associated with 93% of total assets and 87% of total revenues included in the consolidated financial statements of the Company as of and for the year ended December 31, 2019. Our audit of internal control over financial reporting of the Company also excluded an evaluation of the internal control over financial reporting of Option Care.</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80" w:right="2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80" w:right="260" w:hanging="26"/>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left="80"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Chicago, Illinois March 5, 2020</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8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adopted a Code of Ethics that applies to all of our directors, officers and employees, including our principal executive, principal financial and principal accounting officers, or persons performing similar functions. Our Code of Ethics is posted on our website located at http://investors.optioncarehealth.com/corporate-governance/highlights. We intend to disclose future amendments to certain provisions of the Code of Ethics, and waivers of the Code of Ethics granted to executive officers and directors.</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other information required by this item s incorporated by reference from the information contained in our definitive proxy statement to be filed with the SEC no later than 120 days after December 31, 2019 in connection with our 2020 Annual Meeting of Stockholders.</w:t>
      </w:r>
    </w:p>
    <w:p>
      <w:pPr>
        <w:spacing w:after="0" w:line="1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8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2019 in connection with our 2020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2019 in connection with our 2020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8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2019 in connection with our 2020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8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2019 in connection with our 2020 Annual Meeting of Stockholders.</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20"/>
          </w:cols>
          <w:pgMar w:left="240" w:top="122" w:right="3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820" w:type="dxa"/>
            <w:vAlign w:val="bottom"/>
          </w:tcPr>
          <w:p>
            <w:pPr>
              <w:spacing w:after="0"/>
              <w:rPr>
                <w:sz w:val="20"/>
                <w:szCs w:val="20"/>
                <w:color w:val="auto"/>
              </w:rPr>
            </w:pPr>
          </w:p>
        </w:tc>
        <w:tc>
          <w:tcPr>
            <w:tcW w:w="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7"/>
        </w:trPr>
        <w:tc>
          <w:tcPr>
            <w:tcW w:w="10820" w:type="dxa"/>
            <w:vAlign w:val="bottom"/>
            <w:vMerge w:val="restart"/>
          </w:tcPr>
          <w:p>
            <w:pPr>
              <w:spacing w:after="0"/>
              <w:rPr>
                <w:sz w:val="20"/>
                <w:szCs w:val="20"/>
                <w:color w:val="auto"/>
              </w:rPr>
            </w:pPr>
            <w:r>
              <w:rPr>
                <w:rFonts w:ascii="Arial" w:cs="Arial" w:eastAsia="Arial" w:hAnsi="Arial"/>
                <w:sz w:val="18"/>
                <w:szCs w:val="18"/>
                <w:b w:val="1"/>
                <w:bCs w:val="1"/>
                <w:color w:val="auto"/>
              </w:rPr>
              <w:t>(a)(1) Financial Statements.</w:t>
            </w: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820" w:type="dxa"/>
            <w:vAlign w:val="bottom"/>
          </w:tcPr>
          <w:p>
            <w:pPr>
              <w:spacing w:after="0"/>
              <w:rPr>
                <w:sz w:val="20"/>
                <w:szCs w:val="20"/>
                <w:color w:val="auto"/>
              </w:rPr>
            </w:pPr>
            <w:r>
              <w:rPr>
                <w:rFonts w:ascii="Arial" w:cs="Arial" w:eastAsia="Arial" w:hAnsi="Arial"/>
                <w:sz w:val="18"/>
                <w:szCs w:val="18"/>
                <w:color w:val="auto"/>
              </w:rPr>
              <w:t>The following financial statements appear in Part II, Item 8:</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82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w:t>
            </w:r>
          </w:p>
        </w:tc>
        <w:tc>
          <w:tcPr>
            <w:tcW w:w="360" w:type="dxa"/>
            <w:vAlign w:val="bottom"/>
            <w:gridSpan w:val="2"/>
          </w:tcPr>
          <w:p>
            <w:pPr>
              <w:jc w:val="center"/>
              <w:ind w:left="118"/>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40</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20" w:type="dxa"/>
            <w:vAlign w:val="bottom"/>
            <w:vMerge w:val="restart"/>
          </w:tcPr>
          <w:p>
            <w:pPr>
              <w:ind w:left="340"/>
              <w:spacing w:after="0"/>
              <w:rPr>
                <w:sz w:val="20"/>
                <w:szCs w:val="20"/>
                <w:color w:val="auto"/>
              </w:rPr>
            </w:pPr>
            <w:r>
              <w:rPr>
                <w:rFonts w:ascii="Arial" w:cs="Arial" w:eastAsia="Arial" w:hAnsi="Arial"/>
                <w:sz w:val="18"/>
                <w:szCs w:val="18"/>
                <w:color w:val="auto"/>
              </w:rPr>
              <w:t>Consolidated Balance Sheets as of December 31, 2019 and 2018</w:t>
            </w: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20" w:type="dxa"/>
            <w:vAlign w:val="bottom"/>
            <w:vMerge w:val="continue"/>
          </w:tcPr>
          <w:p>
            <w:pPr>
              <w:spacing w:after="0"/>
              <w:rPr>
                <w:sz w:val="21"/>
                <w:szCs w:val="21"/>
                <w:color w:val="auto"/>
              </w:rPr>
            </w:pPr>
          </w:p>
        </w:tc>
        <w:tc>
          <w:tcPr>
            <w:tcW w:w="360" w:type="dxa"/>
            <w:vAlign w:val="bottom"/>
            <w:gridSpan w:val="2"/>
          </w:tcPr>
          <w:p>
            <w:pPr>
              <w:jc w:val="center"/>
              <w:ind w:left="118"/>
              <w:spacing w:after="0"/>
              <w:rPr>
                <w:rFonts w:ascii="Arial" w:cs="Arial" w:eastAsia="Arial" w:hAnsi="Arial"/>
                <w:sz w:val="16"/>
                <w:szCs w:val="16"/>
                <w:color w:val="0000EE"/>
                <w:w w:val="89"/>
              </w:rPr>
            </w:pPr>
            <w:hyperlink w:anchor="page41">
              <w:r>
                <w:rPr>
                  <w:rFonts w:ascii="Arial" w:cs="Arial" w:eastAsia="Arial" w:hAnsi="Arial"/>
                  <w:sz w:val="16"/>
                  <w:szCs w:val="16"/>
                  <w:color w:val="0000EE"/>
                  <w:w w:val="89"/>
                </w:rPr>
                <w:t>41</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20" w:type="dxa"/>
            <w:vAlign w:val="bottom"/>
            <w:vMerge w:val="restart"/>
          </w:tcPr>
          <w:p>
            <w:pPr>
              <w:ind w:left="340"/>
              <w:spacing w:after="0"/>
              <w:rPr>
                <w:sz w:val="20"/>
                <w:szCs w:val="20"/>
                <w:color w:val="auto"/>
              </w:rPr>
            </w:pPr>
            <w:r>
              <w:rPr>
                <w:rFonts w:ascii="Arial" w:cs="Arial" w:eastAsia="Arial" w:hAnsi="Arial"/>
                <w:sz w:val="18"/>
                <w:szCs w:val="18"/>
                <w:color w:val="auto"/>
              </w:rPr>
              <w:t>Consolidated Statements of Comprehensive Income (Loss) for the years ended December 31, 2019, 2018 and 2017</w:t>
            </w: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20" w:type="dxa"/>
            <w:vAlign w:val="bottom"/>
            <w:vMerge w:val="continue"/>
          </w:tcPr>
          <w:p>
            <w:pPr>
              <w:spacing w:after="0"/>
              <w:rPr>
                <w:sz w:val="21"/>
                <w:szCs w:val="21"/>
                <w:color w:val="auto"/>
              </w:rPr>
            </w:pPr>
          </w:p>
        </w:tc>
        <w:tc>
          <w:tcPr>
            <w:tcW w:w="360" w:type="dxa"/>
            <w:vAlign w:val="bottom"/>
            <w:gridSpan w:val="2"/>
          </w:tcPr>
          <w:p>
            <w:pPr>
              <w:jc w:val="center"/>
              <w:ind w:left="118"/>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42</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20" w:type="dxa"/>
            <w:vAlign w:val="bottom"/>
            <w:vMerge w:val="restart"/>
          </w:tcPr>
          <w:p>
            <w:pPr>
              <w:ind w:left="34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20" w:type="dxa"/>
            <w:vAlign w:val="bottom"/>
            <w:vMerge w:val="continue"/>
          </w:tcPr>
          <w:p>
            <w:pPr>
              <w:spacing w:after="0"/>
              <w:rPr>
                <w:sz w:val="21"/>
                <w:szCs w:val="21"/>
                <w:color w:val="auto"/>
              </w:rPr>
            </w:pPr>
          </w:p>
        </w:tc>
        <w:tc>
          <w:tcPr>
            <w:tcW w:w="360" w:type="dxa"/>
            <w:vAlign w:val="bottom"/>
            <w:gridSpan w:val="2"/>
          </w:tcPr>
          <w:p>
            <w:pPr>
              <w:jc w:val="center"/>
              <w:ind w:left="118"/>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43</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20" w:type="dxa"/>
            <w:vAlign w:val="bottom"/>
            <w:vMerge w:val="restart"/>
          </w:tcPr>
          <w:p>
            <w:pPr>
              <w:ind w:left="340"/>
              <w:spacing w:after="0"/>
              <w:rPr>
                <w:sz w:val="20"/>
                <w:szCs w:val="20"/>
                <w:color w:val="auto"/>
              </w:rPr>
            </w:pPr>
            <w:r>
              <w:rPr>
                <w:rFonts w:ascii="Arial" w:cs="Arial" w:eastAsia="Arial" w:hAnsi="Arial"/>
                <w:sz w:val="18"/>
                <w:szCs w:val="18"/>
                <w:color w:val="auto"/>
              </w:rPr>
              <w:t>Consolidated Statements of Stockholders’ Equity for the years ended December 31, 2019, 2018 and 2017</w:t>
            </w: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20" w:type="dxa"/>
            <w:vAlign w:val="bottom"/>
            <w:vMerge w:val="continue"/>
          </w:tcPr>
          <w:p>
            <w:pPr>
              <w:spacing w:after="0"/>
              <w:rPr>
                <w:sz w:val="21"/>
                <w:szCs w:val="21"/>
                <w:color w:val="auto"/>
              </w:rPr>
            </w:pPr>
          </w:p>
        </w:tc>
        <w:tc>
          <w:tcPr>
            <w:tcW w:w="360" w:type="dxa"/>
            <w:vAlign w:val="bottom"/>
            <w:gridSpan w:val="2"/>
          </w:tcPr>
          <w:p>
            <w:pPr>
              <w:jc w:val="center"/>
              <w:ind w:left="118"/>
              <w:spacing w:after="0"/>
              <w:rPr>
                <w:rFonts w:ascii="Arial" w:cs="Arial" w:eastAsia="Arial" w:hAnsi="Arial"/>
                <w:sz w:val="16"/>
                <w:szCs w:val="16"/>
                <w:color w:val="0000EE"/>
                <w:w w:val="89"/>
              </w:rPr>
            </w:pPr>
            <w:hyperlink w:anchor="page44">
              <w:r>
                <w:rPr>
                  <w:rFonts w:ascii="Arial" w:cs="Arial" w:eastAsia="Arial" w:hAnsi="Arial"/>
                  <w:sz w:val="16"/>
                  <w:szCs w:val="16"/>
                  <w:color w:val="0000EE"/>
                  <w:w w:val="89"/>
                </w:rPr>
                <w:t>44</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20" w:type="dxa"/>
            <w:vAlign w:val="bottom"/>
            <w:vMerge w:val="restart"/>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20" w:type="dxa"/>
            <w:vAlign w:val="bottom"/>
            <w:vMerge w:val="continue"/>
          </w:tcPr>
          <w:p>
            <w:pPr>
              <w:spacing w:after="0"/>
              <w:rPr>
                <w:sz w:val="21"/>
                <w:szCs w:val="21"/>
                <w:color w:val="auto"/>
              </w:rPr>
            </w:pPr>
          </w:p>
        </w:tc>
        <w:tc>
          <w:tcPr>
            <w:tcW w:w="360" w:type="dxa"/>
            <w:vAlign w:val="bottom"/>
            <w:gridSpan w:val="2"/>
          </w:tcPr>
          <w:p>
            <w:pPr>
              <w:jc w:val="center"/>
              <w:ind w:left="118"/>
              <w:spacing w:after="0"/>
              <w:rPr>
                <w:rFonts w:ascii="Arial" w:cs="Arial" w:eastAsia="Arial" w:hAnsi="Arial"/>
                <w:sz w:val="16"/>
                <w:szCs w:val="16"/>
                <w:color w:val="0000EE"/>
                <w:w w:val="89"/>
              </w:rPr>
            </w:pPr>
            <w:hyperlink w:anchor="page45">
              <w:r>
                <w:rPr>
                  <w:rFonts w:ascii="Arial" w:cs="Arial" w:eastAsia="Arial" w:hAnsi="Arial"/>
                  <w:sz w:val="16"/>
                  <w:szCs w:val="16"/>
                  <w:color w:val="0000EE"/>
                  <w:w w:val="89"/>
                </w:rPr>
                <w:t>45</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other schedules not listed above have been omitted since they are not applicable or are not required.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80" w:type="dxa"/>
            <w:vAlign w:val="bottom"/>
            <w:gridSpan w:val="19"/>
          </w:tcPr>
          <w:p>
            <w:pPr>
              <w:jc w:val="center"/>
              <w:ind w:right="5020"/>
              <w:spacing w:after="0"/>
              <w:rPr>
                <w:sz w:val="20"/>
                <w:szCs w:val="20"/>
                <w:color w:val="auto"/>
              </w:rPr>
            </w:pPr>
            <w:r>
              <w:rPr>
                <w:rFonts w:ascii="Arial" w:cs="Arial" w:eastAsia="Arial" w:hAnsi="Arial"/>
                <w:sz w:val="18"/>
                <w:szCs w:val="18"/>
                <w:b w:val="1"/>
                <w:bCs w:val="1"/>
                <w:color w:val="auto"/>
                <w:w w:val="91"/>
              </w:rPr>
              <w:t>Index to Exhibits</w:t>
            </w:r>
          </w:p>
        </w:tc>
      </w:tr>
      <w:tr>
        <w:trPr>
          <w:trHeight w:val="359"/>
        </w:trPr>
        <w:tc>
          <w:tcPr>
            <w:tcW w:w="1520" w:type="dxa"/>
            <w:vAlign w:val="bottom"/>
          </w:tcPr>
          <w:p>
            <w:pPr>
              <w:ind w:left="40"/>
              <w:spacing w:after="0"/>
              <w:rPr>
                <w:sz w:val="20"/>
                <w:szCs w:val="20"/>
                <w:color w:val="auto"/>
              </w:rPr>
            </w:pPr>
            <w:r>
              <w:rPr>
                <w:rFonts w:ascii="Arial" w:cs="Arial" w:eastAsia="Arial" w:hAnsi="Arial"/>
                <w:sz w:val="16"/>
                <w:szCs w:val="16"/>
                <w:b w:val="1"/>
                <w:bCs w:val="1"/>
                <w:color w:val="auto"/>
              </w:rPr>
              <w:t>Exhibit Number</w:t>
            </w:r>
          </w:p>
        </w:tc>
        <w:tc>
          <w:tcPr>
            <w:tcW w:w="2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0" w:type="dxa"/>
            <w:vAlign w:val="bottom"/>
            <w:gridSpan w:val="17"/>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5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0"/>
        </w:trPr>
        <w:tc>
          <w:tcPr>
            <w:tcW w:w="1520" w:type="dxa"/>
            <w:vAlign w:val="bottom"/>
          </w:tcPr>
          <w:p>
            <w:pPr>
              <w:ind w:left="40"/>
              <w:spacing w:after="0" w:line="170" w:lineRule="exact"/>
              <w:rPr>
                <w:sz w:val="20"/>
                <w:szCs w:val="20"/>
                <w:color w:val="auto"/>
              </w:rPr>
            </w:pPr>
            <w:r>
              <w:rPr>
                <w:rFonts w:ascii="Arial" w:cs="Arial" w:eastAsia="Arial" w:hAnsi="Arial"/>
                <w:sz w:val="16"/>
                <w:szCs w:val="16"/>
                <w:color w:val="auto"/>
              </w:rPr>
              <w:t>2.1+</w:t>
            </w:r>
          </w:p>
        </w:tc>
        <w:tc>
          <w:tcPr>
            <w:tcW w:w="9900" w:type="dxa"/>
            <w:vAlign w:val="bottom"/>
            <w:gridSpan w:val="22"/>
          </w:tcPr>
          <w:p>
            <w:pPr>
              <w:spacing w:after="0" w:line="170" w:lineRule="exact"/>
              <w:rPr>
                <w:rFonts w:ascii="Arial" w:cs="Arial" w:eastAsia="Arial" w:hAnsi="Arial"/>
                <w:sz w:val="16"/>
                <w:szCs w:val="16"/>
                <w:color w:val="0000FF"/>
                <w:w w:val="93"/>
              </w:rPr>
            </w:pPr>
            <w:hyperlink r:id="rId19">
              <w:r>
                <w:rPr>
                  <w:rFonts w:ascii="Arial" w:cs="Arial" w:eastAsia="Arial" w:hAnsi="Arial"/>
                  <w:sz w:val="16"/>
                  <w:szCs w:val="16"/>
                  <w:color w:val="0000FF"/>
                  <w:w w:val="93"/>
                </w:rPr>
                <w:t>Agreement and Plan of Merger, dated as of January 24, 2010, by and among BioScrip, Inc. (the “Company”), and the parties set forth on the signature</w:t>
              </w:r>
            </w:hyperlink>
          </w:p>
        </w:tc>
      </w:tr>
      <w:tr>
        <w:trPr>
          <w:trHeight w:val="183"/>
        </w:trPr>
        <w:tc>
          <w:tcPr>
            <w:tcW w:w="1520" w:type="dxa"/>
            <w:vAlign w:val="bottom"/>
          </w:tcPr>
          <w:p>
            <w:pPr>
              <w:spacing w:after="0"/>
              <w:rPr>
                <w:sz w:val="15"/>
                <w:szCs w:val="15"/>
                <w:color w:val="auto"/>
              </w:rPr>
            </w:pPr>
          </w:p>
        </w:tc>
        <w:tc>
          <w:tcPr>
            <w:tcW w:w="9700" w:type="dxa"/>
            <w:vAlign w:val="bottom"/>
            <w:tcBorders>
              <w:top w:val="single" w:sz="8" w:color="0000FF"/>
              <w:bottom w:val="single" w:sz="8" w:color="0000FF"/>
            </w:tcBorders>
            <w:gridSpan w:val="17"/>
          </w:tcPr>
          <w:p>
            <w:pPr>
              <w:spacing w:after="0" w:line="183" w:lineRule="exact"/>
              <w:rPr>
                <w:rFonts w:ascii="Arial" w:cs="Arial" w:eastAsia="Arial" w:hAnsi="Arial"/>
                <w:sz w:val="16"/>
                <w:szCs w:val="16"/>
                <w:color w:val="0000FF"/>
                <w:w w:val="92"/>
              </w:rPr>
            </w:pPr>
            <w:hyperlink r:id="rId19">
              <w:r>
                <w:rPr>
                  <w:rFonts w:ascii="Arial" w:cs="Arial" w:eastAsia="Arial" w:hAnsi="Arial"/>
                  <w:sz w:val="16"/>
                  <w:szCs w:val="16"/>
                  <w:color w:val="0000FF"/>
                  <w:w w:val="92"/>
                </w:rPr>
                <w:t>page (Incorporated by reference to Exhibit 2.1 to the Company’s Current Report on Form 8-K filed on January 27, 2010, SEC File Number 0-28740).</w:t>
              </w:r>
            </w:hyperlink>
          </w:p>
        </w:tc>
        <w:tc>
          <w:tcPr>
            <w:tcW w:w="20" w:type="dxa"/>
            <w:vAlign w:val="bottom"/>
            <w:tcBorders>
              <w:top w:val="single" w:sz="8" w:color="0000FF"/>
            </w:tcBorders>
          </w:tcPr>
          <w:p>
            <w:pPr>
              <w:spacing w:after="0"/>
              <w:rPr>
                <w:sz w:val="15"/>
                <w:szCs w:val="15"/>
                <w:color w:val="auto"/>
              </w:rPr>
            </w:pPr>
          </w:p>
        </w:tc>
        <w:tc>
          <w:tcPr>
            <w:tcW w:w="180" w:type="dxa"/>
            <w:vAlign w:val="bottom"/>
            <w:gridSpan w:val="4"/>
          </w:tcPr>
          <w:p>
            <w:pPr>
              <w:spacing w:after="0"/>
              <w:rPr>
                <w:sz w:val="15"/>
                <w:szCs w:val="15"/>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2.2+</w:t>
            </w:r>
          </w:p>
        </w:tc>
        <w:tc>
          <w:tcPr>
            <w:tcW w:w="9580" w:type="dxa"/>
            <w:vAlign w:val="bottom"/>
            <w:tcBorders>
              <w:bottom w:val="single" w:sz="8" w:color="0000FF"/>
            </w:tcBorders>
            <w:gridSpan w:val="16"/>
          </w:tcPr>
          <w:p>
            <w:pPr>
              <w:spacing w:after="0"/>
              <w:rPr>
                <w:rFonts w:ascii="Arial" w:cs="Arial" w:eastAsia="Arial" w:hAnsi="Arial"/>
                <w:sz w:val="16"/>
                <w:szCs w:val="16"/>
                <w:color w:val="0000FF"/>
                <w:w w:val="91"/>
              </w:rPr>
            </w:pPr>
            <w:hyperlink r:id="rId20">
              <w:r>
                <w:rPr>
                  <w:rFonts w:ascii="Arial" w:cs="Arial" w:eastAsia="Arial" w:hAnsi="Arial"/>
                  <w:sz w:val="16"/>
                  <w:szCs w:val="16"/>
                  <w:color w:val="0000FF"/>
                  <w:w w:val="91"/>
                </w:rPr>
                <w:t>Stock Purchase Agreement, dated as of December 12, 2012, by and among HomeChoice Partners, Inc., DaVita HealthCare Partners Inc., Mary Ann</w:t>
              </w:r>
            </w:hyperlink>
          </w:p>
        </w:tc>
        <w:tc>
          <w:tcPr>
            <w:tcW w:w="320" w:type="dxa"/>
            <w:vAlign w:val="bottom"/>
            <w:gridSpan w:val="6"/>
          </w:tcPr>
          <w:p>
            <w:pPr>
              <w:spacing w:after="0"/>
              <w:rPr>
                <w:sz w:val="20"/>
                <w:szCs w:val="20"/>
                <w:color w:val="auto"/>
              </w:rPr>
            </w:pPr>
          </w:p>
        </w:tc>
      </w:tr>
      <w:tr>
        <w:trPr>
          <w:trHeight w:val="183"/>
        </w:trPr>
        <w:tc>
          <w:tcPr>
            <w:tcW w:w="1520" w:type="dxa"/>
            <w:vAlign w:val="bottom"/>
          </w:tcPr>
          <w:p>
            <w:pPr>
              <w:spacing w:after="0"/>
              <w:rPr>
                <w:sz w:val="15"/>
                <w:szCs w:val="15"/>
                <w:color w:val="auto"/>
              </w:rPr>
            </w:pPr>
          </w:p>
        </w:tc>
        <w:tc>
          <w:tcPr>
            <w:tcW w:w="9900" w:type="dxa"/>
            <w:vAlign w:val="bottom"/>
            <w:gridSpan w:val="22"/>
          </w:tcPr>
          <w:p>
            <w:pPr>
              <w:spacing w:after="0" w:line="183" w:lineRule="exact"/>
              <w:rPr>
                <w:rFonts w:ascii="Arial" w:cs="Arial" w:eastAsia="Arial" w:hAnsi="Arial"/>
                <w:sz w:val="16"/>
                <w:szCs w:val="16"/>
                <w:color w:val="0000FF"/>
                <w:w w:val="93"/>
              </w:rPr>
            </w:pPr>
            <w:hyperlink r:id="rId20">
              <w:r>
                <w:rPr>
                  <w:rFonts w:ascii="Arial" w:cs="Arial" w:eastAsia="Arial" w:hAnsi="Arial"/>
                  <w:sz w:val="16"/>
                  <w:szCs w:val="16"/>
                  <w:color w:val="0000FF"/>
                  <w:w w:val="93"/>
                </w:rPr>
                <w:t>Cope, R.Ph., Kathy F. Puglise, RN, CRNI, Joseph W. Boyd, R.Ph., Barbara J. Exum, PharmD and the Company (Incorporated by reference to Exhibit</w:t>
              </w:r>
            </w:hyperlink>
          </w:p>
        </w:tc>
      </w:tr>
      <w:tr>
        <w:trPr>
          <w:trHeight w:val="183"/>
        </w:trPr>
        <w:tc>
          <w:tcPr>
            <w:tcW w:w="1520" w:type="dxa"/>
            <w:vAlign w:val="bottom"/>
          </w:tcPr>
          <w:p>
            <w:pPr>
              <w:spacing w:after="0"/>
              <w:rPr>
                <w:sz w:val="15"/>
                <w:szCs w:val="15"/>
                <w:color w:val="auto"/>
              </w:rPr>
            </w:pPr>
          </w:p>
        </w:tc>
        <w:tc>
          <w:tcPr>
            <w:tcW w:w="9740" w:type="dxa"/>
            <w:vAlign w:val="bottom"/>
            <w:tcBorders>
              <w:top w:val="single" w:sz="8" w:color="0000FF"/>
            </w:tcBorders>
            <w:gridSpan w:val="19"/>
          </w:tcPr>
          <w:p>
            <w:pPr>
              <w:spacing w:after="0" w:line="183" w:lineRule="exact"/>
              <w:rPr>
                <w:rFonts w:ascii="Arial" w:cs="Arial" w:eastAsia="Arial" w:hAnsi="Arial"/>
                <w:sz w:val="16"/>
                <w:szCs w:val="16"/>
                <w:color w:val="0000FF"/>
              </w:rPr>
            </w:pPr>
            <w:hyperlink r:id="rId20">
              <w:r>
                <w:rPr>
                  <w:rFonts w:ascii="Arial" w:cs="Arial" w:eastAsia="Arial" w:hAnsi="Arial"/>
                  <w:sz w:val="16"/>
                  <w:szCs w:val="16"/>
                  <w:color w:val="0000FF"/>
                </w:rPr>
                <w:t>2.</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Company’s Current Report on Form 8-K filed on February 4, 2013, SEC File Number 0-28740).</w:t>
              </w:r>
            </w:hyperlink>
          </w:p>
        </w:tc>
        <w:tc>
          <w:tcPr>
            <w:tcW w:w="160" w:type="dxa"/>
            <w:vAlign w:val="bottom"/>
            <w:gridSpan w:val="3"/>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2.3</w:t>
            </w:r>
          </w:p>
        </w:tc>
        <w:tc>
          <w:tcPr>
            <w:tcW w:w="9220" w:type="dxa"/>
            <w:vAlign w:val="bottom"/>
            <w:tcBorders>
              <w:bottom w:val="single" w:sz="8" w:color="0000FF"/>
            </w:tcBorders>
            <w:gridSpan w:val="13"/>
          </w:tcPr>
          <w:p>
            <w:pPr>
              <w:spacing w:after="0"/>
              <w:rPr>
                <w:rFonts w:ascii="Arial" w:cs="Arial" w:eastAsia="Arial" w:hAnsi="Arial"/>
                <w:sz w:val="16"/>
                <w:szCs w:val="16"/>
                <w:color w:val="0000FF"/>
                <w:w w:val="91"/>
              </w:rPr>
            </w:pPr>
            <w:hyperlink r:id="rId21">
              <w:r>
                <w:rPr>
                  <w:rFonts w:ascii="Arial" w:cs="Arial" w:eastAsia="Arial" w:hAnsi="Arial"/>
                  <w:sz w:val="16"/>
                  <w:szCs w:val="16"/>
                  <w:color w:val="0000FF"/>
                  <w:w w:val="91"/>
                </w:rPr>
                <w:t>Asset Purchase Agreement, dated June 11, 2016, by and among HS Infusion Holdings, Inc., the direct and indirect subsidiaries of HS Infusion</w:t>
              </w:r>
            </w:hyperlink>
          </w:p>
        </w:tc>
        <w:tc>
          <w:tcPr>
            <w:tcW w:w="680" w:type="dxa"/>
            <w:vAlign w:val="bottom"/>
            <w:gridSpan w:val="9"/>
          </w:tcPr>
          <w:p>
            <w:pPr>
              <w:spacing w:after="0"/>
              <w:rPr>
                <w:sz w:val="20"/>
                <w:szCs w:val="20"/>
                <w:color w:val="auto"/>
              </w:rPr>
            </w:pPr>
          </w:p>
        </w:tc>
      </w:tr>
      <w:tr>
        <w:trPr>
          <w:trHeight w:val="183"/>
        </w:trPr>
        <w:tc>
          <w:tcPr>
            <w:tcW w:w="1520" w:type="dxa"/>
            <w:vAlign w:val="bottom"/>
          </w:tcPr>
          <w:p>
            <w:pPr>
              <w:spacing w:after="0"/>
              <w:rPr>
                <w:sz w:val="15"/>
                <w:szCs w:val="15"/>
                <w:color w:val="auto"/>
              </w:rPr>
            </w:pPr>
          </w:p>
        </w:tc>
        <w:tc>
          <w:tcPr>
            <w:tcW w:w="9520" w:type="dxa"/>
            <w:vAlign w:val="bottom"/>
            <w:tcBorders>
              <w:bottom w:val="single" w:sz="8" w:color="0000FF"/>
            </w:tcBorders>
            <w:gridSpan w:val="15"/>
          </w:tcPr>
          <w:p>
            <w:pPr>
              <w:spacing w:after="0" w:line="183" w:lineRule="exact"/>
              <w:rPr>
                <w:rFonts w:ascii="Arial" w:cs="Arial" w:eastAsia="Arial" w:hAnsi="Arial"/>
                <w:sz w:val="16"/>
                <w:szCs w:val="16"/>
                <w:color w:val="0000FF"/>
                <w:w w:val="92"/>
              </w:rPr>
            </w:pPr>
            <w:hyperlink r:id="rId21">
              <w:r>
                <w:rPr>
                  <w:rFonts w:ascii="Arial" w:cs="Arial" w:eastAsia="Arial" w:hAnsi="Arial"/>
                  <w:sz w:val="16"/>
                  <w:szCs w:val="16"/>
                  <w:color w:val="0000FF"/>
                  <w:w w:val="92"/>
                </w:rPr>
                <w:t>Holdings, Inc. set forth on the signature pages, the Company and HomeChoice Partners, Inc. (the “Home Solutions Agreement”). (Incorporated by</w:t>
              </w:r>
            </w:hyperlink>
          </w:p>
        </w:tc>
        <w:tc>
          <w:tcPr>
            <w:tcW w:w="380" w:type="dxa"/>
            <w:vAlign w:val="bottom"/>
            <w:gridSpan w:val="7"/>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9900" w:type="dxa"/>
            <w:vAlign w:val="bottom"/>
            <w:gridSpan w:val="22"/>
          </w:tcPr>
          <w:p>
            <w:pPr>
              <w:spacing w:after="0" w:line="183" w:lineRule="exact"/>
              <w:rPr>
                <w:rFonts w:ascii="Arial" w:cs="Arial" w:eastAsia="Arial" w:hAnsi="Arial"/>
                <w:sz w:val="16"/>
                <w:szCs w:val="16"/>
                <w:color w:val="0000FF"/>
              </w:rPr>
            </w:pPr>
            <w:hyperlink r:id="rId21">
              <w:r>
                <w:rPr>
                  <w:rFonts w:ascii="Arial" w:cs="Arial" w:eastAsia="Arial" w:hAnsi="Arial"/>
                  <w:sz w:val="16"/>
                  <w:szCs w:val="16"/>
                  <w:color w:val="0000FF"/>
                </w:rPr>
                <w:t>reference to Exhibit 2.1 to the Company’s Current Report on Form 8-K filed on June 13, 2016, SEC File Number 000-28740).</w:t>
              </w:r>
            </w:hyperlink>
          </w:p>
        </w:tc>
      </w:tr>
      <w:tr>
        <w:trPr>
          <w:trHeight w:val="20"/>
        </w:trPr>
        <w:tc>
          <w:tcPr>
            <w:tcW w:w="15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2.4</w:t>
            </w:r>
          </w:p>
        </w:tc>
        <w:tc>
          <w:tcPr>
            <w:tcW w:w="9900" w:type="dxa"/>
            <w:vAlign w:val="bottom"/>
            <w:gridSpan w:val="22"/>
          </w:tcPr>
          <w:p>
            <w:pPr>
              <w:spacing w:after="0"/>
              <w:rPr>
                <w:rFonts w:ascii="Arial" w:cs="Arial" w:eastAsia="Arial" w:hAnsi="Arial"/>
                <w:sz w:val="16"/>
                <w:szCs w:val="16"/>
                <w:color w:val="0000FF"/>
                <w:w w:val="93"/>
              </w:rPr>
            </w:pPr>
            <w:hyperlink r:id="rId22">
              <w:r>
                <w:rPr>
                  <w:rFonts w:ascii="Arial" w:cs="Arial" w:eastAsia="Arial" w:hAnsi="Arial"/>
                  <w:sz w:val="16"/>
                  <w:szCs w:val="16"/>
                  <w:color w:val="0000FF"/>
                  <w:w w:val="93"/>
                </w:rPr>
                <w:t>First Amendment, dated June 16, 2016, to the Home Solutions Agreement (Incorporated by reference to Exhibit 2.1 to the Company’s Current Report</w:t>
              </w:r>
            </w:hyperlink>
          </w:p>
        </w:tc>
      </w:tr>
      <w:tr>
        <w:trPr>
          <w:trHeight w:val="183"/>
        </w:trPr>
        <w:tc>
          <w:tcPr>
            <w:tcW w:w="1520" w:type="dxa"/>
            <w:vAlign w:val="bottom"/>
          </w:tcPr>
          <w:p>
            <w:pPr>
              <w:spacing w:after="0"/>
              <w:rPr>
                <w:sz w:val="15"/>
                <w:szCs w:val="15"/>
                <w:color w:val="auto"/>
              </w:rPr>
            </w:pPr>
          </w:p>
        </w:tc>
        <w:tc>
          <w:tcPr>
            <w:tcW w:w="458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3"/>
              </w:rPr>
            </w:pPr>
            <w:hyperlink r:id="rId22">
              <w:r>
                <w:rPr>
                  <w:rFonts w:ascii="Arial" w:cs="Arial" w:eastAsia="Arial" w:hAnsi="Arial"/>
                  <w:sz w:val="16"/>
                  <w:szCs w:val="16"/>
                  <w:color w:val="0000FF"/>
                  <w:w w:val="93"/>
                </w:rPr>
                <w:t>on Form 8-K/A filed on June 20, 2016, SEC File Number 000-28740).</w:t>
              </w:r>
            </w:hyperlink>
          </w:p>
        </w:tc>
        <w:tc>
          <w:tcPr>
            <w:tcW w:w="5120" w:type="dxa"/>
            <w:vAlign w:val="bottom"/>
            <w:tcBorders>
              <w:top w:val="single" w:sz="8" w:color="0000FF"/>
            </w:tcBorders>
            <w:gridSpan w:val="11"/>
          </w:tcPr>
          <w:p>
            <w:pPr>
              <w:spacing w:after="0"/>
              <w:rPr>
                <w:sz w:val="15"/>
                <w:szCs w:val="15"/>
                <w:color w:val="auto"/>
              </w:rPr>
            </w:pPr>
          </w:p>
        </w:tc>
        <w:tc>
          <w:tcPr>
            <w:tcW w:w="200" w:type="dxa"/>
            <w:vAlign w:val="bottom"/>
            <w:gridSpan w:val="5"/>
          </w:tcPr>
          <w:p>
            <w:pPr>
              <w:spacing w:after="0"/>
              <w:rPr>
                <w:sz w:val="15"/>
                <w:szCs w:val="15"/>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2.5</w:t>
            </w:r>
          </w:p>
        </w:tc>
        <w:tc>
          <w:tcPr>
            <w:tcW w:w="9900" w:type="dxa"/>
            <w:vAlign w:val="bottom"/>
            <w:tcBorders>
              <w:bottom w:val="single" w:sz="8" w:color="0000FF"/>
            </w:tcBorders>
            <w:gridSpan w:val="22"/>
          </w:tcPr>
          <w:p>
            <w:pPr>
              <w:spacing w:after="0"/>
              <w:rPr>
                <w:rFonts w:ascii="Arial" w:cs="Arial" w:eastAsia="Arial" w:hAnsi="Arial"/>
                <w:sz w:val="16"/>
                <w:szCs w:val="16"/>
                <w:color w:val="0000FF"/>
                <w:w w:val="93"/>
              </w:rPr>
            </w:pPr>
            <w:hyperlink r:id="rId23">
              <w:r>
                <w:rPr>
                  <w:rFonts w:ascii="Arial" w:cs="Arial" w:eastAsia="Arial" w:hAnsi="Arial"/>
                  <w:sz w:val="16"/>
                  <w:szCs w:val="16"/>
                  <w:color w:val="0000FF"/>
                  <w:w w:val="93"/>
                </w:rPr>
                <w:t>Second Amendment, dated September 2, 2016, to the Home Solutions Agreement (Incorporated by reference to Exhibit 2.1 to the Company’s Current</w:t>
              </w:r>
            </w:hyperlink>
          </w:p>
        </w:tc>
      </w:tr>
      <w:tr>
        <w:trPr>
          <w:trHeight w:val="183"/>
        </w:trPr>
        <w:tc>
          <w:tcPr>
            <w:tcW w:w="1520" w:type="dxa"/>
            <w:vAlign w:val="bottom"/>
          </w:tcPr>
          <w:p>
            <w:pPr>
              <w:spacing w:after="0"/>
              <w:rPr>
                <w:sz w:val="15"/>
                <w:szCs w:val="15"/>
                <w:color w:val="auto"/>
              </w:rPr>
            </w:pPr>
          </w:p>
        </w:tc>
        <w:tc>
          <w:tcPr>
            <w:tcW w:w="9900" w:type="dxa"/>
            <w:vAlign w:val="bottom"/>
            <w:gridSpan w:val="22"/>
          </w:tcPr>
          <w:p>
            <w:pPr>
              <w:spacing w:after="0" w:line="183" w:lineRule="exact"/>
              <w:rPr>
                <w:rFonts w:ascii="Arial" w:cs="Arial" w:eastAsia="Arial" w:hAnsi="Arial"/>
                <w:sz w:val="16"/>
                <w:szCs w:val="16"/>
                <w:color w:val="0000FF"/>
              </w:rPr>
            </w:pPr>
            <w:hyperlink r:id="rId23">
              <w:r>
                <w:rPr>
                  <w:rFonts w:ascii="Arial" w:cs="Arial" w:eastAsia="Arial" w:hAnsi="Arial"/>
                  <w:sz w:val="16"/>
                  <w:szCs w:val="16"/>
                  <w:color w:val="0000FF"/>
                </w:rPr>
                <w:t>Report on Form 8-K filed on September 7, 2016, SEC File Number 001-11993).</w:t>
              </w:r>
            </w:hyperlink>
          </w:p>
        </w:tc>
      </w:tr>
      <w:tr>
        <w:trPr>
          <w:trHeight w:val="20"/>
        </w:trPr>
        <w:tc>
          <w:tcPr>
            <w:tcW w:w="15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2.6</w:t>
            </w:r>
          </w:p>
        </w:tc>
        <w:tc>
          <w:tcPr>
            <w:tcW w:w="9900" w:type="dxa"/>
            <w:vAlign w:val="bottom"/>
            <w:gridSpan w:val="22"/>
          </w:tcPr>
          <w:p>
            <w:pPr>
              <w:spacing w:after="0"/>
              <w:rPr>
                <w:rFonts w:ascii="Arial" w:cs="Arial" w:eastAsia="Arial" w:hAnsi="Arial"/>
                <w:sz w:val="16"/>
                <w:szCs w:val="16"/>
                <w:color w:val="0000FF"/>
                <w:w w:val="94"/>
              </w:rPr>
            </w:pPr>
            <w:hyperlink r:id="rId24">
              <w:r>
                <w:rPr>
                  <w:rFonts w:ascii="Arial" w:cs="Arial" w:eastAsia="Arial" w:hAnsi="Arial"/>
                  <w:sz w:val="16"/>
                  <w:szCs w:val="16"/>
                  <w:color w:val="0000FF"/>
                  <w:w w:val="94"/>
                </w:rPr>
                <w:t>Third Amendment, dated September 9, 2016, to the Home Solutions Agreement (Incorporated by reference to Exhibit 2.1 to the Company’s Current</w:t>
              </w:r>
            </w:hyperlink>
          </w:p>
        </w:tc>
      </w:tr>
      <w:tr>
        <w:trPr>
          <w:trHeight w:val="183"/>
        </w:trPr>
        <w:tc>
          <w:tcPr>
            <w:tcW w:w="1520" w:type="dxa"/>
            <w:vAlign w:val="bottom"/>
          </w:tcPr>
          <w:p>
            <w:pPr>
              <w:spacing w:after="0"/>
              <w:rPr>
                <w:sz w:val="15"/>
                <w:szCs w:val="15"/>
                <w:color w:val="auto"/>
              </w:rPr>
            </w:pPr>
          </w:p>
        </w:tc>
        <w:tc>
          <w:tcPr>
            <w:tcW w:w="986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24">
              <w:r>
                <w:rPr>
                  <w:rFonts w:ascii="Arial" w:cs="Arial" w:eastAsia="Arial" w:hAnsi="Arial"/>
                  <w:sz w:val="16"/>
                  <w:szCs w:val="16"/>
                  <w:color w:val="0000FF"/>
                </w:rPr>
                <w:t>Report on Form 8-K filed on September 12, 2016, SEC File Number 001-11993).</w:t>
              </w:r>
            </w:hyperlink>
          </w:p>
        </w:tc>
        <w:tc>
          <w:tcPr>
            <w:tcW w:w="40" w:type="dxa"/>
            <w:vAlign w:val="bottom"/>
            <w:gridSpan w:val="2"/>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2.7+</w:t>
            </w:r>
          </w:p>
        </w:tc>
        <w:tc>
          <w:tcPr>
            <w:tcW w:w="9900" w:type="dxa"/>
            <w:vAlign w:val="bottom"/>
            <w:gridSpan w:val="22"/>
          </w:tcPr>
          <w:p>
            <w:pPr>
              <w:spacing w:after="0"/>
              <w:rPr>
                <w:rFonts w:ascii="Arial" w:cs="Arial" w:eastAsia="Arial" w:hAnsi="Arial"/>
                <w:sz w:val="16"/>
                <w:szCs w:val="16"/>
                <w:color w:val="0000FF"/>
                <w:w w:val="93"/>
              </w:rPr>
            </w:pPr>
            <w:hyperlink r:id="rId25">
              <w:r>
                <w:rPr>
                  <w:rFonts w:ascii="Arial" w:cs="Arial" w:eastAsia="Arial" w:hAnsi="Arial"/>
                  <w:sz w:val="16"/>
                  <w:szCs w:val="16"/>
                  <w:color w:val="0000FF"/>
                  <w:w w:val="93"/>
                </w:rPr>
                <w:t>Agreement and Plan of Merger, dated as of March 14, 2019, by and among BioScrip, Inc., Beta Sub, Inc., Beta Sub, LLC, HC Group Holdings I, LLC,</w:t>
              </w:r>
            </w:hyperlink>
          </w:p>
        </w:tc>
      </w:tr>
      <w:tr>
        <w:trPr>
          <w:trHeight w:val="20"/>
        </w:trPr>
        <w:tc>
          <w:tcPr>
            <w:tcW w:w="15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520" w:type="dxa"/>
            <w:vAlign w:val="bottom"/>
          </w:tcPr>
          <w:p>
            <w:pPr>
              <w:spacing w:after="0"/>
              <w:rPr>
                <w:sz w:val="15"/>
                <w:szCs w:val="15"/>
                <w:color w:val="auto"/>
              </w:rPr>
            </w:pPr>
          </w:p>
        </w:tc>
        <w:tc>
          <w:tcPr>
            <w:tcW w:w="9900" w:type="dxa"/>
            <w:vAlign w:val="bottom"/>
            <w:gridSpan w:val="22"/>
          </w:tcPr>
          <w:p>
            <w:pPr>
              <w:spacing w:after="0" w:line="183" w:lineRule="exact"/>
              <w:rPr>
                <w:rFonts w:ascii="Arial" w:cs="Arial" w:eastAsia="Arial" w:hAnsi="Arial"/>
                <w:sz w:val="16"/>
                <w:szCs w:val="16"/>
                <w:color w:val="0000FF"/>
                <w:w w:val="95"/>
              </w:rPr>
            </w:pPr>
            <w:hyperlink r:id="rId25">
              <w:r>
                <w:rPr>
                  <w:rFonts w:ascii="Arial" w:cs="Arial" w:eastAsia="Arial" w:hAnsi="Arial"/>
                  <w:sz w:val="16"/>
                  <w:szCs w:val="16"/>
                  <w:color w:val="0000FF"/>
                  <w:w w:val="95"/>
                </w:rPr>
                <w:t>HC Group Holdings II, Inc. and HC Group Holdings III, Inc. (incorporated by reference to Exhibit 2.1 to the Company’s Current Report on Form 8-K</w:t>
              </w:r>
            </w:hyperlink>
          </w:p>
        </w:tc>
      </w:tr>
      <w:tr>
        <w:trPr>
          <w:trHeight w:val="183"/>
        </w:trPr>
        <w:tc>
          <w:tcPr>
            <w:tcW w:w="1520" w:type="dxa"/>
            <w:vAlign w:val="bottom"/>
          </w:tcPr>
          <w:p>
            <w:pPr>
              <w:spacing w:after="0"/>
              <w:rPr>
                <w:sz w:val="15"/>
                <w:szCs w:val="15"/>
                <w:color w:val="auto"/>
              </w:rPr>
            </w:pPr>
          </w:p>
        </w:tc>
        <w:tc>
          <w:tcPr>
            <w:tcW w:w="986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25">
              <w:r>
                <w:rPr>
                  <w:rFonts w:ascii="Arial" w:cs="Arial" w:eastAsia="Arial" w:hAnsi="Arial"/>
                  <w:sz w:val="16"/>
                  <w:szCs w:val="16"/>
                  <w:color w:val="0000FF"/>
                </w:rPr>
                <w:t>filed on March 15, 2019, SEC File Number 001-11993).</w:t>
              </w:r>
            </w:hyperlink>
          </w:p>
        </w:tc>
        <w:tc>
          <w:tcPr>
            <w:tcW w:w="40" w:type="dxa"/>
            <w:vAlign w:val="bottom"/>
            <w:gridSpan w:val="2"/>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3.1</w:t>
            </w:r>
          </w:p>
        </w:tc>
        <w:tc>
          <w:tcPr>
            <w:tcW w:w="9900" w:type="dxa"/>
            <w:vAlign w:val="bottom"/>
            <w:tcBorders>
              <w:bottom w:val="single" w:sz="8" w:color="0000FF"/>
            </w:tcBorders>
            <w:gridSpan w:val="22"/>
          </w:tcPr>
          <w:p>
            <w:pPr>
              <w:spacing w:after="0"/>
              <w:rPr>
                <w:rFonts w:ascii="Arial" w:cs="Arial" w:eastAsia="Arial" w:hAnsi="Arial"/>
                <w:sz w:val="16"/>
                <w:szCs w:val="16"/>
                <w:color w:val="0000FF"/>
                <w:w w:val="94"/>
              </w:rPr>
            </w:pPr>
            <w:hyperlink r:id="rId26">
              <w:r>
                <w:rPr>
                  <w:rFonts w:ascii="Arial" w:cs="Arial" w:eastAsia="Arial" w:hAnsi="Arial"/>
                  <w:sz w:val="16"/>
                  <w:szCs w:val="16"/>
                  <w:color w:val="0000FF"/>
                  <w:w w:val="94"/>
                </w:rPr>
                <w:t>Third Amended and Restated Certificate of Incorporation of BioScrip, Inc. (incorporated by reference to Exhibit 3.1 to the Company’s Current Report</w:t>
              </w:r>
            </w:hyperlink>
          </w:p>
        </w:tc>
      </w:tr>
      <w:tr>
        <w:trPr>
          <w:trHeight w:val="183"/>
        </w:trPr>
        <w:tc>
          <w:tcPr>
            <w:tcW w:w="1520" w:type="dxa"/>
            <w:vAlign w:val="bottom"/>
          </w:tcPr>
          <w:p>
            <w:pPr>
              <w:spacing w:after="0"/>
              <w:rPr>
                <w:sz w:val="15"/>
                <w:szCs w:val="15"/>
                <w:color w:val="auto"/>
              </w:rPr>
            </w:pPr>
          </w:p>
        </w:tc>
        <w:tc>
          <w:tcPr>
            <w:tcW w:w="4500" w:type="dxa"/>
            <w:vAlign w:val="bottom"/>
            <w:tcBorders>
              <w:bottom w:val="single" w:sz="8" w:color="0000FF"/>
            </w:tcBorders>
            <w:gridSpan w:val="5"/>
          </w:tcPr>
          <w:p>
            <w:pPr>
              <w:spacing w:after="0" w:line="183" w:lineRule="exact"/>
              <w:rPr>
                <w:rFonts w:ascii="Arial" w:cs="Arial" w:eastAsia="Arial" w:hAnsi="Arial"/>
                <w:sz w:val="16"/>
                <w:szCs w:val="16"/>
                <w:color w:val="0000FF"/>
                <w:w w:val="93"/>
              </w:rPr>
            </w:pPr>
            <w:hyperlink r:id="rId26">
              <w:r>
                <w:rPr>
                  <w:rFonts w:ascii="Arial" w:cs="Arial" w:eastAsia="Arial" w:hAnsi="Arial"/>
                  <w:sz w:val="16"/>
                  <w:szCs w:val="16"/>
                  <w:color w:val="0000FF"/>
                  <w:w w:val="93"/>
                </w:rPr>
                <w:t>on Form 8-K filed on August 7, 2019, SEC File Number 001-11993).</w:t>
              </w:r>
            </w:hyperlink>
          </w:p>
        </w:tc>
        <w:tc>
          <w:tcPr>
            <w:tcW w:w="5400" w:type="dxa"/>
            <w:vAlign w:val="bottom"/>
            <w:gridSpan w:val="17"/>
          </w:tcPr>
          <w:p>
            <w:pPr>
              <w:spacing w:after="0"/>
              <w:rPr>
                <w:sz w:val="15"/>
                <w:szCs w:val="15"/>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3.2</w:t>
            </w:r>
          </w:p>
        </w:tc>
        <w:tc>
          <w:tcPr>
            <w:tcW w:w="9900" w:type="dxa"/>
            <w:vAlign w:val="bottom"/>
            <w:gridSpan w:val="22"/>
          </w:tcPr>
          <w:p>
            <w:pPr>
              <w:spacing w:after="0"/>
              <w:rPr>
                <w:rFonts w:ascii="Arial" w:cs="Arial" w:eastAsia="Arial" w:hAnsi="Arial"/>
                <w:sz w:val="16"/>
                <w:szCs w:val="16"/>
                <w:color w:val="0000FF"/>
                <w:w w:val="97"/>
              </w:rPr>
            </w:pPr>
            <w:hyperlink r:id="rId27">
              <w:r>
                <w:rPr>
                  <w:rFonts w:ascii="Arial" w:cs="Arial" w:eastAsia="Arial" w:hAnsi="Arial"/>
                  <w:sz w:val="16"/>
                  <w:szCs w:val="16"/>
                  <w:color w:val="0000FF"/>
                  <w:w w:val="97"/>
                </w:rPr>
                <w:t>Certificate of Amendment to Certificate of Incorporation, amending the Third Amended and Restated Certificate of Incorporation of BioScrip, Inc.</w:t>
              </w:r>
            </w:hyperlink>
          </w:p>
        </w:tc>
      </w:tr>
      <w:tr>
        <w:trPr>
          <w:trHeight w:val="183"/>
        </w:trPr>
        <w:tc>
          <w:tcPr>
            <w:tcW w:w="1520" w:type="dxa"/>
            <w:vAlign w:val="bottom"/>
          </w:tcPr>
          <w:p>
            <w:pPr>
              <w:spacing w:after="0"/>
              <w:rPr>
                <w:sz w:val="15"/>
                <w:szCs w:val="15"/>
                <w:color w:val="auto"/>
              </w:rPr>
            </w:pPr>
          </w:p>
        </w:tc>
        <w:tc>
          <w:tcPr>
            <w:tcW w:w="9860" w:type="dxa"/>
            <w:vAlign w:val="bottom"/>
            <w:tcBorders>
              <w:top w:val="single" w:sz="8" w:color="0000FF"/>
            </w:tcBorders>
            <w:gridSpan w:val="20"/>
          </w:tcPr>
          <w:p>
            <w:pPr>
              <w:spacing w:after="0" w:line="183" w:lineRule="exact"/>
              <w:rPr>
                <w:rFonts w:ascii="Arial" w:cs="Arial" w:eastAsia="Arial" w:hAnsi="Arial"/>
                <w:sz w:val="16"/>
                <w:szCs w:val="16"/>
                <w:color w:val="0000FF"/>
                <w:w w:val="97"/>
              </w:rPr>
            </w:pPr>
            <w:hyperlink r:id="rId27">
              <w:r>
                <w:rPr>
                  <w:rFonts w:ascii="Arial" w:cs="Arial" w:eastAsia="Arial" w:hAnsi="Arial"/>
                  <w:sz w:val="16"/>
                  <w:szCs w:val="16"/>
                  <w:color w:val="0000FF"/>
                  <w:w w:val="97"/>
                </w:rPr>
                <w:t>(incorporated by reference to Exhibit 3.3 to the Company’s Current Report on Form 8-K filed on August 7, 2019, SEC File Number 001-11993).</w:t>
              </w:r>
            </w:hyperlink>
          </w:p>
        </w:tc>
        <w:tc>
          <w:tcPr>
            <w:tcW w:w="40" w:type="dxa"/>
            <w:vAlign w:val="bottom"/>
            <w:gridSpan w:val="2"/>
          </w:tcPr>
          <w:p>
            <w:pPr>
              <w:spacing w:after="0"/>
              <w:rPr>
                <w:sz w:val="15"/>
                <w:szCs w:val="15"/>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3.3</w:t>
            </w:r>
          </w:p>
        </w:tc>
        <w:tc>
          <w:tcPr>
            <w:tcW w:w="9380" w:type="dxa"/>
            <w:vAlign w:val="bottom"/>
            <w:tcBorders>
              <w:top w:val="single" w:sz="8" w:color="0000FF"/>
            </w:tcBorders>
            <w:gridSpan w:val="14"/>
          </w:tcPr>
          <w:p>
            <w:pPr>
              <w:spacing w:after="0"/>
              <w:rPr>
                <w:rFonts w:ascii="Arial" w:cs="Arial" w:eastAsia="Arial" w:hAnsi="Arial"/>
                <w:sz w:val="16"/>
                <w:szCs w:val="16"/>
                <w:color w:val="0000FF"/>
                <w:w w:val="94"/>
              </w:rPr>
            </w:pPr>
            <w:hyperlink r:id="rId28">
              <w:r>
                <w:rPr>
                  <w:rFonts w:ascii="Arial" w:cs="Arial" w:eastAsia="Arial" w:hAnsi="Arial"/>
                  <w:sz w:val="16"/>
                  <w:szCs w:val="16"/>
                  <w:color w:val="0000FF"/>
                  <w:w w:val="94"/>
                </w:rPr>
                <w:t>Amended and Restated Bylaws of Option Care Health, Inc., formerly known as BioScrip, Inc. (incorporated by reference to Exhibit 3.4 to the</w:t>
              </w:r>
            </w:hyperlink>
          </w:p>
        </w:tc>
        <w:tc>
          <w:tcPr>
            <w:tcW w:w="520" w:type="dxa"/>
            <w:vAlign w:val="bottom"/>
            <w:gridSpan w:val="8"/>
          </w:tcPr>
          <w:p>
            <w:pPr>
              <w:spacing w:after="0"/>
              <w:rPr>
                <w:sz w:val="20"/>
                <w:szCs w:val="20"/>
                <w:color w:val="auto"/>
              </w:rPr>
            </w:pPr>
          </w:p>
        </w:tc>
      </w:tr>
      <w:tr>
        <w:trPr>
          <w:trHeight w:val="183"/>
        </w:trPr>
        <w:tc>
          <w:tcPr>
            <w:tcW w:w="152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9"/>
          </w:tcPr>
          <w:p>
            <w:pPr>
              <w:spacing w:after="0" w:line="183" w:lineRule="exact"/>
              <w:rPr>
                <w:rFonts w:ascii="Arial" w:cs="Arial" w:eastAsia="Arial" w:hAnsi="Arial"/>
                <w:sz w:val="16"/>
                <w:szCs w:val="16"/>
                <w:color w:val="0000FF"/>
                <w:w w:val="92"/>
              </w:rPr>
            </w:pPr>
            <w:hyperlink r:id="rId28">
              <w:r>
                <w:rPr>
                  <w:rFonts w:ascii="Arial" w:cs="Arial" w:eastAsia="Arial" w:hAnsi="Arial"/>
                  <w:sz w:val="16"/>
                  <w:szCs w:val="16"/>
                  <w:color w:val="0000FF"/>
                  <w:w w:val="92"/>
                </w:rPr>
                <w:t>Company’s Current Report on Form 8-K filed on August 7, 2019, SEC File Number 001-11993).</w:t>
              </w:r>
            </w:hyperlink>
          </w:p>
        </w:tc>
        <w:tc>
          <w:tcPr>
            <w:tcW w:w="2880" w:type="dxa"/>
            <w:vAlign w:val="bottom"/>
            <w:tcBorders>
              <w:top w:val="single" w:sz="8" w:color="0000FF"/>
            </w:tcBorders>
            <w:gridSpan w:val="3"/>
          </w:tcPr>
          <w:p>
            <w:pPr>
              <w:spacing w:after="0"/>
              <w:rPr>
                <w:sz w:val="15"/>
                <w:szCs w:val="15"/>
                <w:color w:val="auto"/>
              </w:rPr>
            </w:pPr>
          </w:p>
        </w:tc>
        <w:tc>
          <w:tcPr>
            <w:tcW w:w="720" w:type="dxa"/>
            <w:vAlign w:val="bottom"/>
            <w:gridSpan w:val="10"/>
          </w:tcPr>
          <w:p>
            <w:pPr>
              <w:spacing w:after="0"/>
              <w:rPr>
                <w:sz w:val="15"/>
                <w:szCs w:val="15"/>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4.1</w:t>
            </w:r>
          </w:p>
        </w:tc>
        <w:tc>
          <w:tcPr>
            <w:tcW w:w="9900" w:type="dxa"/>
            <w:vAlign w:val="bottom"/>
            <w:tcBorders>
              <w:bottom w:val="single" w:sz="8" w:color="0000FF"/>
            </w:tcBorders>
            <w:gridSpan w:val="22"/>
          </w:tcPr>
          <w:p>
            <w:pPr>
              <w:spacing w:after="0"/>
              <w:rPr>
                <w:rFonts w:ascii="Arial" w:cs="Arial" w:eastAsia="Arial" w:hAnsi="Arial"/>
                <w:sz w:val="16"/>
                <w:szCs w:val="16"/>
                <w:color w:val="0000FF"/>
                <w:w w:val="92"/>
              </w:rPr>
            </w:pPr>
            <w:hyperlink r:id="rId29">
              <w:r>
                <w:rPr>
                  <w:rFonts w:ascii="Arial" w:cs="Arial" w:eastAsia="Arial" w:hAnsi="Arial"/>
                  <w:sz w:val="16"/>
                  <w:szCs w:val="16"/>
                  <w:color w:val="0000FF"/>
                  <w:w w:val="92"/>
                </w:rPr>
                <w:t>Registration Rights Agreement, dated as of March 9, 2015, by and among the Company, Coliseum Capital Partners, L.P., Coliseum Capital Partners II,</w:t>
              </w:r>
            </w:hyperlink>
          </w:p>
        </w:tc>
      </w:tr>
      <w:tr>
        <w:trPr>
          <w:trHeight w:val="183"/>
        </w:trPr>
        <w:tc>
          <w:tcPr>
            <w:tcW w:w="1520" w:type="dxa"/>
            <w:vAlign w:val="bottom"/>
          </w:tcPr>
          <w:p>
            <w:pPr>
              <w:spacing w:after="0"/>
              <w:rPr>
                <w:sz w:val="15"/>
                <w:szCs w:val="15"/>
                <w:color w:val="auto"/>
              </w:rPr>
            </w:pPr>
          </w:p>
        </w:tc>
        <w:tc>
          <w:tcPr>
            <w:tcW w:w="9880" w:type="dxa"/>
            <w:vAlign w:val="bottom"/>
            <w:tcBorders>
              <w:bottom w:val="single" w:sz="8" w:color="0000FF"/>
            </w:tcBorders>
            <w:gridSpan w:val="21"/>
          </w:tcPr>
          <w:p>
            <w:pPr>
              <w:spacing w:after="0" w:line="183" w:lineRule="exact"/>
              <w:rPr>
                <w:rFonts w:ascii="Arial" w:cs="Arial" w:eastAsia="Arial" w:hAnsi="Arial"/>
                <w:sz w:val="16"/>
                <w:szCs w:val="16"/>
                <w:color w:val="0000FF"/>
                <w:w w:val="94"/>
              </w:rPr>
            </w:pPr>
            <w:hyperlink r:id="rId29">
              <w:r>
                <w:rPr>
                  <w:rFonts w:ascii="Arial" w:cs="Arial" w:eastAsia="Arial" w:hAnsi="Arial"/>
                  <w:sz w:val="16"/>
                  <w:szCs w:val="16"/>
                  <w:color w:val="0000FF"/>
                  <w:w w:val="94"/>
                </w:rPr>
                <w:t>L.P., and Blackwell Partners, LLC, Series A. (Incorporated by reference to Exhibit 4.1 to the Company’s Current Report on Form 8-K filed on March</w:t>
              </w:r>
            </w:hyperlink>
          </w:p>
        </w:tc>
        <w:tc>
          <w:tcPr>
            <w:tcW w:w="20" w:type="dxa"/>
            <w:vAlign w:val="bottom"/>
          </w:tcPr>
          <w:p>
            <w:pPr>
              <w:spacing w:after="0"/>
              <w:rPr>
                <w:sz w:val="15"/>
                <w:szCs w:val="15"/>
                <w:color w:val="auto"/>
              </w:rPr>
            </w:pPr>
          </w:p>
        </w:tc>
      </w:tr>
      <w:tr>
        <w:trPr>
          <w:trHeight w:val="183"/>
        </w:trPr>
        <w:tc>
          <w:tcPr>
            <w:tcW w:w="1520" w:type="dxa"/>
            <w:vAlign w:val="bottom"/>
          </w:tcPr>
          <w:p>
            <w:pPr>
              <w:spacing w:after="0"/>
              <w:rPr>
                <w:sz w:val="15"/>
                <w:szCs w:val="15"/>
                <w:color w:val="auto"/>
              </w:rPr>
            </w:pPr>
          </w:p>
        </w:tc>
        <w:tc>
          <w:tcPr>
            <w:tcW w:w="9900" w:type="dxa"/>
            <w:vAlign w:val="bottom"/>
            <w:gridSpan w:val="22"/>
          </w:tcPr>
          <w:p>
            <w:pPr>
              <w:spacing w:after="0" w:line="183" w:lineRule="exact"/>
              <w:rPr>
                <w:rFonts w:ascii="Arial" w:cs="Arial" w:eastAsia="Arial" w:hAnsi="Arial"/>
                <w:sz w:val="16"/>
                <w:szCs w:val="16"/>
                <w:color w:val="0000FF"/>
              </w:rPr>
            </w:pPr>
            <w:hyperlink r:id="rId29">
              <w:r>
                <w:rPr>
                  <w:rFonts w:ascii="Arial" w:cs="Arial" w:eastAsia="Arial" w:hAnsi="Arial"/>
                  <w:sz w:val="16"/>
                  <w:szCs w:val="16"/>
                  <w:color w:val="0000FF"/>
                </w:rPr>
                <w:t>10, 2015, SEC File Number 000-28740).</w:t>
              </w:r>
            </w:hyperlink>
          </w:p>
        </w:tc>
      </w:tr>
      <w:tr>
        <w:trPr>
          <w:trHeight w:val="20"/>
        </w:trPr>
        <w:tc>
          <w:tcPr>
            <w:tcW w:w="152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4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4.2</w:t>
            </w:r>
          </w:p>
        </w:tc>
        <w:tc>
          <w:tcPr>
            <w:tcW w:w="9880" w:type="dxa"/>
            <w:vAlign w:val="bottom"/>
            <w:tcBorders>
              <w:bottom w:val="single" w:sz="8" w:color="0000FF"/>
            </w:tcBorders>
            <w:gridSpan w:val="21"/>
          </w:tcPr>
          <w:p>
            <w:pPr>
              <w:spacing w:after="0"/>
              <w:rPr>
                <w:rFonts w:ascii="Arial" w:cs="Arial" w:eastAsia="Arial" w:hAnsi="Arial"/>
                <w:sz w:val="16"/>
                <w:szCs w:val="16"/>
                <w:color w:val="0000FF"/>
                <w:w w:val="92"/>
              </w:rPr>
            </w:pPr>
            <w:hyperlink r:id="rId30">
              <w:r>
                <w:rPr>
                  <w:rFonts w:ascii="Arial" w:cs="Arial" w:eastAsia="Arial" w:hAnsi="Arial"/>
                  <w:sz w:val="16"/>
                  <w:szCs w:val="16"/>
                  <w:color w:val="0000FF"/>
                  <w:w w:val="92"/>
                </w:rPr>
                <w:t>Amendment No. 1 to the Registration Rights Agreement dated June 10, 2016, by and among the Company, Coliseum Capital Partners, L.P., Coliseum</w:t>
              </w:r>
            </w:hyperlink>
          </w:p>
        </w:tc>
        <w:tc>
          <w:tcPr>
            <w:tcW w:w="20" w:type="dxa"/>
            <w:vAlign w:val="bottom"/>
          </w:tcPr>
          <w:p>
            <w:pPr>
              <w:spacing w:after="0"/>
              <w:rPr>
                <w:sz w:val="20"/>
                <w:szCs w:val="20"/>
                <w:color w:val="auto"/>
              </w:rPr>
            </w:pPr>
          </w:p>
        </w:tc>
      </w:tr>
      <w:tr>
        <w:trPr>
          <w:trHeight w:val="183"/>
        </w:trPr>
        <w:tc>
          <w:tcPr>
            <w:tcW w:w="1520" w:type="dxa"/>
            <w:vAlign w:val="bottom"/>
          </w:tcPr>
          <w:p>
            <w:pPr>
              <w:spacing w:after="0"/>
              <w:rPr>
                <w:sz w:val="15"/>
                <w:szCs w:val="15"/>
                <w:color w:val="auto"/>
              </w:rPr>
            </w:pPr>
          </w:p>
        </w:tc>
        <w:tc>
          <w:tcPr>
            <w:tcW w:w="9900" w:type="dxa"/>
            <w:vAlign w:val="bottom"/>
            <w:tcBorders>
              <w:bottom w:val="single" w:sz="8" w:color="0000FF"/>
            </w:tcBorders>
            <w:gridSpan w:val="22"/>
          </w:tcPr>
          <w:p>
            <w:pPr>
              <w:spacing w:after="0" w:line="183" w:lineRule="exact"/>
              <w:rPr>
                <w:rFonts w:ascii="Arial" w:cs="Arial" w:eastAsia="Arial" w:hAnsi="Arial"/>
                <w:sz w:val="16"/>
                <w:szCs w:val="16"/>
                <w:color w:val="0000FF"/>
                <w:w w:val="92"/>
              </w:rPr>
            </w:pPr>
            <w:hyperlink r:id="rId30">
              <w:r>
                <w:rPr>
                  <w:rFonts w:ascii="Arial" w:cs="Arial" w:eastAsia="Arial" w:hAnsi="Arial"/>
                  <w:sz w:val="16"/>
                  <w:szCs w:val="16"/>
                  <w:color w:val="0000FF"/>
                  <w:w w:val="92"/>
                </w:rPr>
                <w:t>Capital Partners II, L.P. and Blackwell Partners, LLC Series A. (Incorporated by reference to Exhibit 4.1 to the Company’s Current Report on Form 8-K</w:t>
              </w:r>
            </w:hyperlink>
          </w:p>
        </w:tc>
      </w:tr>
      <w:tr>
        <w:trPr>
          <w:trHeight w:val="183"/>
        </w:trPr>
        <w:tc>
          <w:tcPr>
            <w:tcW w:w="1520" w:type="dxa"/>
            <w:vAlign w:val="bottom"/>
          </w:tcPr>
          <w:p>
            <w:pPr>
              <w:spacing w:after="0"/>
              <w:rPr>
                <w:sz w:val="15"/>
                <w:szCs w:val="15"/>
                <w:color w:val="auto"/>
              </w:rPr>
            </w:pPr>
          </w:p>
        </w:tc>
        <w:tc>
          <w:tcPr>
            <w:tcW w:w="9900" w:type="dxa"/>
            <w:vAlign w:val="bottom"/>
            <w:gridSpan w:val="22"/>
          </w:tcPr>
          <w:p>
            <w:pPr>
              <w:spacing w:after="0" w:line="183" w:lineRule="exact"/>
              <w:rPr>
                <w:rFonts w:ascii="Arial" w:cs="Arial" w:eastAsia="Arial" w:hAnsi="Arial"/>
                <w:sz w:val="16"/>
                <w:szCs w:val="16"/>
                <w:color w:val="0000FF"/>
              </w:rPr>
            </w:pPr>
            <w:hyperlink r:id="rId30">
              <w:r>
                <w:rPr>
                  <w:rFonts w:ascii="Arial" w:cs="Arial" w:eastAsia="Arial" w:hAnsi="Arial"/>
                  <w:sz w:val="16"/>
                  <w:szCs w:val="16"/>
                  <w:color w:val="0000FF"/>
                </w:rPr>
                <w:t>filed on June 13, 2016, SEC File Number 000-28740).</w:t>
              </w:r>
            </w:hyperlink>
          </w:p>
        </w:tc>
      </w:tr>
      <w:tr>
        <w:trPr>
          <w:trHeight w:val="20"/>
        </w:trPr>
        <w:tc>
          <w:tcPr>
            <w:tcW w:w="1520" w:type="dxa"/>
            <w:vAlign w:val="bottom"/>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36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4.3</w:t>
            </w:r>
          </w:p>
        </w:tc>
        <w:tc>
          <w:tcPr>
            <w:tcW w:w="9880" w:type="dxa"/>
            <w:vAlign w:val="bottom"/>
            <w:tcBorders>
              <w:bottom w:val="single" w:sz="8" w:color="0000FF"/>
            </w:tcBorders>
            <w:gridSpan w:val="21"/>
          </w:tcPr>
          <w:p>
            <w:pPr>
              <w:spacing w:after="0"/>
              <w:rPr>
                <w:rFonts w:ascii="Arial" w:cs="Arial" w:eastAsia="Arial" w:hAnsi="Arial"/>
                <w:sz w:val="16"/>
                <w:szCs w:val="16"/>
                <w:color w:val="0000FF"/>
                <w:w w:val="93"/>
              </w:rPr>
            </w:pPr>
            <w:hyperlink r:id="rId31">
              <w:r>
                <w:rPr>
                  <w:rFonts w:ascii="Arial" w:cs="Arial" w:eastAsia="Arial" w:hAnsi="Arial"/>
                  <w:sz w:val="16"/>
                  <w:szCs w:val="16"/>
                  <w:color w:val="0000FF"/>
                  <w:w w:val="93"/>
                </w:rPr>
                <w:t>Amendment No. 2 to the Registration Rights Agreement dated June 14, 2016, by and among the Company and the PIPE Investors. (Incorporated by</w:t>
              </w:r>
            </w:hyperlink>
          </w:p>
        </w:tc>
        <w:tc>
          <w:tcPr>
            <w:tcW w:w="20" w:type="dxa"/>
            <w:vAlign w:val="bottom"/>
          </w:tcPr>
          <w:p>
            <w:pPr>
              <w:spacing w:after="0"/>
              <w:rPr>
                <w:sz w:val="20"/>
                <w:szCs w:val="20"/>
                <w:color w:val="auto"/>
              </w:rPr>
            </w:pPr>
          </w:p>
        </w:tc>
      </w:tr>
      <w:tr>
        <w:trPr>
          <w:trHeight w:val="183"/>
        </w:trPr>
        <w:tc>
          <w:tcPr>
            <w:tcW w:w="1520" w:type="dxa"/>
            <w:vAlign w:val="bottom"/>
          </w:tcPr>
          <w:p>
            <w:pPr>
              <w:spacing w:after="0"/>
              <w:rPr>
                <w:sz w:val="15"/>
                <w:szCs w:val="15"/>
                <w:color w:val="auto"/>
              </w:rPr>
            </w:pPr>
          </w:p>
        </w:tc>
        <w:tc>
          <w:tcPr>
            <w:tcW w:w="9900" w:type="dxa"/>
            <w:vAlign w:val="bottom"/>
            <w:gridSpan w:val="22"/>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reference to Exhibit 4.1 to the Company’s Current Report on Form 8-K filed on June 14, 2016, SEC File Number 000-28740).</w:t>
              </w:r>
            </w:hyperlink>
          </w:p>
        </w:tc>
      </w:tr>
      <w:tr>
        <w:trPr>
          <w:trHeight w:val="20"/>
        </w:trPr>
        <w:tc>
          <w:tcPr>
            <w:tcW w:w="1520" w:type="dxa"/>
            <w:vAlign w:val="bottom"/>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5200" w:type="dxa"/>
            <w:vAlign w:val="bottom"/>
            <w:gridSpan w:val="9"/>
            <w:shd w:val="clear" w:color="auto" w:fill="0000FF"/>
          </w:tcPr>
          <w:p>
            <w:pPr>
              <w:spacing w:after="0" w:line="20" w:lineRule="exact"/>
              <w:rPr>
                <w:sz w:val="1"/>
                <w:szCs w:val="1"/>
                <w:color w:val="auto"/>
              </w:rPr>
            </w:pPr>
          </w:p>
        </w:tc>
        <w:tc>
          <w:tcPr>
            <w:tcW w:w="1720" w:type="dxa"/>
            <w:vAlign w:val="bottom"/>
            <w:gridSpan w:val="11"/>
          </w:tcPr>
          <w:p>
            <w:pPr>
              <w:spacing w:after="0" w:line="20" w:lineRule="exact"/>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4.4</w:t>
            </w:r>
          </w:p>
        </w:tc>
        <w:tc>
          <w:tcPr>
            <w:tcW w:w="9900" w:type="dxa"/>
            <w:vAlign w:val="bottom"/>
            <w:gridSpan w:val="22"/>
          </w:tcPr>
          <w:p>
            <w:pPr>
              <w:spacing w:after="0"/>
              <w:rPr>
                <w:rFonts w:ascii="Arial" w:cs="Arial" w:eastAsia="Arial" w:hAnsi="Arial"/>
                <w:sz w:val="16"/>
                <w:szCs w:val="16"/>
                <w:color w:val="0000FF"/>
                <w:w w:val="96"/>
              </w:rPr>
            </w:pPr>
            <w:hyperlink r:id="rId32">
              <w:r>
                <w:rPr>
                  <w:rFonts w:ascii="Arial" w:cs="Arial" w:eastAsia="Arial" w:hAnsi="Arial"/>
                  <w:sz w:val="16"/>
                  <w:szCs w:val="16"/>
                  <w:color w:val="0000FF"/>
                  <w:w w:val="96"/>
                </w:rPr>
                <w:t>Form of Subscription Rights Certificate. (Incorporated by reference to Exhibit 4.1 to the Company’s Registration Statement on Form S-3/A filed on</w:t>
              </w:r>
            </w:hyperlink>
          </w:p>
        </w:tc>
      </w:tr>
      <w:tr>
        <w:trPr>
          <w:trHeight w:val="183"/>
        </w:trPr>
        <w:tc>
          <w:tcPr>
            <w:tcW w:w="1520" w:type="dxa"/>
            <w:vAlign w:val="bottom"/>
          </w:tcPr>
          <w:p>
            <w:pPr>
              <w:spacing w:after="0"/>
              <w:rPr>
                <w:sz w:val="15"/>
                <w:szCs w:val="15"/>
                <w:color w:val="auto"/>
              </w:rPr>
            </w:pPr>
          </w:p>
        </w:tc>
        <w:tc>
          <w:tcPr>
            <w:tcW w:w="9860" w:type="dxa"/>
            <w:vAlign w:val="bottom"/>
            <w:tcBorders>
              <w:top w:val="single" w:sz="8" w:color="0000FF"/>
            </w:tcBorders>
            <w:gridSpan w:val="20"/>
          </w:tcPr>
          <w:p>
            <w:pPr>
              <w:spacing w:after="0" w:line="183" w:lineRule="exact"/>
              <w:rPr>
                <w:rFonts w:ascii="Arial" w:cs="Arial" w:eastAsia="Arial" w:hAnsi="Arial"/>
                <w:sz w:val="16"/>
                <w:szCs w:val="16"/>
                <w:color w:val="0000FF"/>
              </w:rPr>
            </w:pPr>
            <w:hyperlink r:id="rId32">
              <w:r>
                <w:rPr>
                  <w:rFonts w:ascii="Arial" w:cs="Arial" w:eastAsia="Arial" w:hAnsi="Arial"/>
                  <w:sz w:val="16"/>
                  <w:szCs w:val="16"/>
                  <w:color w:val="0000FF"/>
                </w:rPr>
                <w:t>May 29, 2015, SEC File Number 000-28740).</w:t>
              </w:r>
            </w:hyperlink>
          </w:p>
        </w:tc>
        <w:tc>
          <w:tcPr>
            <w:tcW w:w="40" w:type="dxa"/>
            <w:vAlign w:val="bottom"/>
            <w:gridSpan w:val="2"/>
          </w:tcPr>
          <w:p>
            <w:pPr>
              <w:spacing w:after="0"/>
              <w:rPr>
                <w:sz w:val="15"/>
                <w:szCs w:val="15"/>
                <w:color w:val="auto"/>
              </w:rPr>
            </w:pPr>
          </w:p>
        </w:tc>
      </w:tr>
      <w:tr>
        <w:trPr>
          <w:trHeight w:val="480"/>
        </w:trPr>
        <w:tc>
          <w:tcPr>
            <w:tcW w:w="1520" w:type="dxa"/>
            <w:vAlign w:val="bottom"/>
          </w:tcPr>
          <w:p>
            <w:pPr>
              <w:spacing w:after="0"/>
              <w:rPr>
                <w:sz w:val="24"/>
                <w:szCs w:val="24"/>
                <w:color w:val="auto"/>
              </w:rPr>
            </w:pPr>
          </w:p>
        </w:tc>
        <w:tc>
          <w:tcPr>
            <w:tcW w:w="2980" w:type="dxa"/>
            <w:vAlign w:val="bottom"/>
            <w:tcBorders>
              <w:top w:val="single" w:sz="8" w:color="0000FF"/>
            </w:tcBorders>
            <w:gridSpan w:val="2"/>
          </w:tcPr>
          <w:p>
            <w:pPr>
              <w:spacing w:after="0"/>
              <w:rPr>
                <w:sz w:val="24"/>
                <w:szCs w:val="24"/>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7"/>
        </w:trPr>
        <w:tc>
          <w:tcPr>
            <w:tcW w:w="1020" w:type="dxa"/>
            <w:vAlign w:val="bottom"/>
            <w:tcBorders>
              <w:top w:val="single" w:sz="8" w:color="0000EE"/>
            </w:tcBorders>
          </w:tcPr>
          <w:p>
            <w:pPr>
              <w:ind w:left="40"/>
              <w:spacing w:after="0"/>
              <w:rPr>
                <w:sz w:val="20"/>
                <w:szCs w:val="20"/>
                <w:color w:val="auto"/>
              </w:rPr>
            </w:pPr>
            <w:r>
              <w:rPr>
                <w:rFonts w:ascii="Arial" w:cs="Arial" w:eastAsia="Arial" w:hAnsi="Arial"/>
                <w:sz w:val="16"/>
                <w:szCs w:val="16"/>
                <w:color w:val="auto"/>
              </w:rPr>
              <w:t>4.5</w:t>
            </w:r>
          </w:p>
        </w:tc>
        <w:tc>
          <w:tcPr>
            <w:tcW w:w="500" w:type="dxa"/>
            <w:vAlign w:val="bottom"/>
          </w:tcPr>
          <w:p>
            <w:pPr>
              <w:spacing w:after="0"/>
              <w:rPr>
                <w:sz w:val="24"/>
                <w:szCs w:val="24"/>
                <w:color w:val="auto"/>
              </w:rPr>
            </w:pPr>
          </w:p>
        </w:tc>
        <w:tc>
          <w:tcPr>
            <w:tcW w:w="9880" w:type="dxa"/>
            <w:vAlign w:val="bottom"/>
            <w:gridSpan w:val="28"/>
          </w:tcPr>
          <w:p>
            <w:pPr>
              <w:spacing w:after="0"/>
              <w:rPr>
                <w:rFonts w:ascii="Arial" w:cs="Arial" w:eastAsia="Arial" w:hAnsi="Arial"/>
                <w:sz w:val="16"/>
                <w:szCs w:val="16"/>
                <w:color w:val="0000FF"/>
                <w:w w:val="99"/>
              </w:rPr>
            </w:pPr>
            <w:hyperlink r:id="rId33">
              <w:r>
                <w:rPr>
                  <w:rFonts w:ascii="Arial" w:cs="Arial" w:eastAsia="Arial" w:hAnsi="Arial"/>
                  <w:sz w:val="16"/>
                  <w:szCs w:val="16"/>
                  <w:color w:val="0000FF"/>
                  <w:w w:val="99"/>
                </w:rPr>
                <w:t>Common Stock Warrant Agreement, dated July 28, 2015, by and between the Company and the American Stock Transfer &amp; Trust Company,</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80" w:type="dxa"/>
            <w:vAlign w:val="bottom"/>
            <w:tcBorders>
              <w:top w:val="single" w:sz="8" w:color="0000FF"/>
              <w:bottom w:val="single" w:sz="8" w:color="0000FF"/>
            </w:tcBorders>
            <w:gridSpan w:val="24"/>
          </w:tcPr>
          <w:p>
            <w:pPr>
              <w:spacing w:after="0" w:line="183" w:lineRule="exact"/>
              <w:rPr>
                <w:rFonts w:ascii="Arial" w:cs="Arial" w:eastAsia="Arial" w:hAnsi="Arial"/>
                <w:sz w:val="16"/>
                <w:szCs w:val="16"/>
                <w:color w:val="0000FF"/>
                <w:w w:val="93"/>
              </w:rPr>
            </w:pPr>
            <w:hyperlink r:id="rId33">
              <w:r>
                <w:rPr>
                  <w:rFonts w:ascii="Arial" w:cs="Arial" w:eastAsia="Arial" w:hAnsi="Arial"/>
                  <w:sz w:val="16"/>
                  <w:szCs w:val="16"/>
                  <w:color w:val="0000FF"/>
                  <w:w w:val="93"/>
                </w:rPr>
                <w:t>LLC. (Incorporated by reference to Exhibit 4.1 to the Company’s Current Report on Form 8-K filed on July 28, 2015, SEC File Number 000-28740).</w:t>
              </w:r>
            </w:hyperlink>
          </w:p>
        </w:tc>
        <w:tc>
          <w:tcPr>
            <w:tcW w:w="18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4.6</w:t>
            </w:r>
          </w:p>
        </w:tc>
        <w:tc>
          <w:tcPr>
            <w:tcW w:w="500" w:type="dxa"/>
            <w:vAlign w:val="bottom"/>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w w:val="95"/>
              </w:rPr>
            </w:pPr>
            <w:hyperlink r:id="rId34">
              <w:r>
                <w:rPr>
                  <w:rFonts w:ascii="Arial" w:cs="Arial" w:eastAsia="Arial" w:hAnsi="Arial"/>
                  <w:sz w:val="16"/>
                  <w:szCs w:val="16"/>
                  <w:color w:val="0000FF"/>
                  <w:w w:val="95"/>
                </w:rPr>
                <w:t>Registration Rights Agreement, dated March 1, 2017, by and among the Company and the investors named therein. (Incorporated by reference to</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20" w:type="dxa"/>
            <w:vAlign w:val="bottom"/>
            <w:tcBorders>
              <w:bottom w:val="single" w:sz="8" w:color="0000FF"/>
            </w:tcBorders>
            <w:gridSpan w:val="14"/>
          </w:tcPr>
          <w:p>
            <w:pPr>
              <w:spacing w:after="0" w:line="183" w:lineRule="exact"/>
              <w:rPr>
                <w:rFonts w:ascii="Arial" w:cs="Arial" w:eastAsia="Arial" w:hAnsi="Arial"/>
                <w:sz w:val="16"/>
                <w:szCs w:val="16"/>
                <w:color w:val="0000FF"/>
                <w:w w:val="93"/>
              </w:rPr>
            </w:pPr>
            <w:hyperlink r:id="rId34">
              <w:r>
                <w:rPr>
                  <w:rFonts w:ascii="Arial" w:cs="Arial" w:eastAsia="Arial" w:hAnsi="Arial"/>
                  <w:sz w:val="16"/>
                  <w:szCs w:val="16"/>
                  <w:color w:val="0000FF"/>
                  <w:w w:val="93"/>
                </w:rPr>
                <w:t>Exhibit 4.1 to the Company’s Current Report on Form 8-K filed on March 2, 2017, SEC File Number 001-11993).</w:t>
              </w:r>
            </w:hyperlink>
          </w:p>
        </w:tc>
        <w:tc>
          <w:tcPr>
            <w:tcW w:w="246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4.7</w:t>
            </w:r>
          </w:p>
        </w:tc>
        <w:tc>
          <w:tcPr>
            <w:tcW w:w="500" w:type="dxa"/>
            <w:vAlign w:val="bottom"/>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w w:val="95"/>
              </w:rPr>
            </w:pPr>
            <w:hyperlink r:id="rId35">
              <w:r>
                <w:rPr>
                  <w:rFonts w:ascii="Arial" w:cs="Arial" w:eastAsia="Arial" w:hAnsi="Arial"/>
                  <w:sz w:val="16"/>
                  <w:szCs w:val="16"/>
                  <w:color w:val="0000FF"/>
                  <w:w w:val="95"/>
                </w:rPr>
                <w:t>Registration Rights Agreement, dated June 29, 2017, by and among the Company and the parties signatory thereto (Incorporated by reference to</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Exhibit 4.2 to the Company’s Current Report on Form 8-K filed on June 29, 2017, SEC File Number 001-11993).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4.8</w:t>
            </w:r>
          </w:p>
        </w:tc>
        <w:tc>
          <w:tcPr>
            <w:tcW w:w="500" w:type="dxa"/>
            <w:vAlign w:val="bottom"/>
          </w:tcPr>
          <w:p>
            <w:pPr>
              <w:spacing w:after="0"/>
              <w:rPr>
                <w:sz w:val="20"/>
                <w:szCs w:val="20"/>
                <w:color w:val="auto"/>
              </w:rPr>
            </w:pPr>
          </w:p>
        </w:tc>
        <w:tc>
          <w:tcPr>
            <w:tcW w:w="9880" w:type="dxa"/>
            <w:vAlign w:val="bottom"/>
            <w:gridSpan w:val="28"/>
          </w:tcPr>
          <w:p>
            <w:pPr>
              <w:spacing w:after="0"/>
              <w:rPr>
                <w:rFonts w:ascii="Arial" w:cs="Arial" w:eastAsia="Arial" w:hAnsi="Arial"/>
                <w:sz w:val="16"/>
                <w:szCs w:val="16"/>
                <w:color w:val="0000FF"/>
              </w:rPr>
            </w:pPr>
            <w:hyperlink r:id="rId36">
              <w:r>
                <w:rPr>
                  <w:rFonts w:ascii="Arial" w:cs="Arial" w:eastAsia="Arial" w:hAnsi="Arial"/>
                  <w:sz w:val="16"/>
                  <w:szCs w:val="16"/>
                  <w:color w:val="0000FF"/>
                </w:rPr>
                <w:t>Amendment No. 1 to Registration Rights Agreement by and between BioScrip, Inc. and the stockholders of the Company signatory thereto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w w:val="96"/>
              </w:rPr>
            </w:pPr>
            <w:hyperlink r:id="rId36">
              <w:r>
                <w:rPr>
                  <w:rFonts w:ascii="Arial" w:cs="Arial" w:eastAsia="Arial" w:hAnsi="Arial"/>
                  <w:sz w:val="16"/>
                  <w:szCs w:val="16"/>
                  <w:color w:val="0000FF"/>
                  <w:w w:val="96"/>
                </w:rPr>
                <w:t>(incorporated by reference to Exhibit 10.4 to the Company’s Current Report on Form 8-K filed on March 15, 2019, SEC File Number 001-11993).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4.9</w:t>
            </w:r>
          </w:p>
        </w:tc>
        <w:tc>
          <w:tcPr>
            <w:tcW w:w="500" w:type="dxa"/>
            <w:vAlign w:val="bottom"/>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w w:val="91"/>
              </w:rPr>
            </w:pPr>
            <w:hyperlink r:id="rId37">
              <w:r>
                <w:rPr>
                  <w:rFonts w:ascii="Arial" w:cs="Arial" w:eastAsia="Arial" w:hAnsi="Arial"/>
                  <w:sz w:val="16"/>
                  <w:szCs w:val="16"/>
                  <w:color w:val="0000FF"/>
                  <w:w w:val="91"/>
                </w:rPr>
                <w:t>Warrant Agreement, dated June 29, 2017, by and among the Company and the subscribers signatory thereto (Incorporated by reference to Exhibit 4.1 to</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rPr>
            </w:pPr>
            <w:hyperlink r:id="rId37">
              <w:r>
                <w:rPr>
                  <w:rFonts w:ascii="Arial" w:cs="Arial" w:eastAsia="Arial" w:hAnsi="Arial"/>
                  <w:sz w:val="16"/>
                  <w:szCs w:val="16"/>
                  <w:color w:val="0000FF"/>
                </w:rPr>
                <w:t>the Company’s Current Report on Form 8-K filed on June 29, 2017, SEC File Number 001-11993).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4.10</w:t>
            </w:r>
          </w:p>
        </w:tc>
        <w:tc>
          <w:tcPr>
            <w:tcW w:w="500" w:type="dxa"/>
            <w:vAlign w:val="bottom"/>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w w:val="92"/>
              </w:rPr>
            </w:pPr>
            <w:hyperlink r:id="rId38">
              <w:r>
                <w:rPr>
                  <w:rFonts w:ascii="Arial" w:cs="Arial" w:eastAsia="Arial" w:hAnsi="Arial"/>
                  <w:sz w:val="16"/>
                  <w:szCs w:val="16"/>
                  <w:color w:val="0000FF"/>
                  <w:w w:val="92"/>
                </w:rPr>
                <w:t>Second Lien Notes Indenture, dated as of August 6, 2019, among HC Group Holdings II, LLC, as the Initial Issuer, BioScrip, Inc., as the Parent Issuer,</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tcBorders>
              <w:bottom w:val="single" w:sz="8" w:color="0000FF"/>
            </w:tcBorders>
            <w:gridSpan w:val="28"/>
          </w:tcPr>
          <w:p>
            <w:pPr>
              <w:spacing w:after="0" w:line="183" w:lineRule="exact"/>
              <w:rPr>
                <w:rFonts w:ascii="Arial" w:cs="Arial" w:eastAsia="Arial" w:hAnsi="Arial"/>
                <w:sz w:val="16"/>
                <w:szCs w:val="16"/>
                <w:color w:val="0000FF"/>
                <w:w w:val="93"/>
              </w:rPr>
            </w:pPr>
            <w:hyperlink r:id="rId38">
              <w:r>
                <w:rPr>
                  <w:rFonts w:ascii="Arial" w:cs="Arial" w:eastAsia="Arial" w:hAnsi="Arial"/>
                  <w:sz w:val="16"/>
                  <w:szCs w:val="16"/>
                  <w:color w:val="0000FF"/>
                  <w:w w:val="93"/>
                </w:rPr>
                <w:t>subsidiary issuers and guarantors party thereto from time to time, and Ankura Trust Company, LLC, as the Trustee and Collateral Agent (incorporated</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80" w:type="dxa"/>
            <w:vAlign w:val="bottom"/>
            <w:tcBorders>
              <w:bottom w:val="single" w:sz="8" w:color="0000FF"/>
            </w:tcBorders>
            <w:gridSpan w:val="18"/>
          </w:tcPr>
          <w:p>
            <w:pPr>
              <w:spacing w:after="0" w:line="183" w:lineRule="exact"/>
              <w:rPr>
                <w:rFonts w:ascii="Arial" w:cs="Arial" w:eastAsia="Arial" w:hAnsi="Arial"/>
                <w:sz w:val="16"/>
                <w:szCs w:val="16"/>
                <w:color w:val="0000FF"/>
                <w:w w:val="92"/>
              </w:rPr>
            </w:pPr>
            <w:hyperlink r:id="rId38">
              <w:r>
                <w:rPr>
                  <w:rFonts w:ascii="Arial" w:cs="Arial" w:eastAsia="Arial" w:hAnsi="Arial"/>
                  <w:sz w:val="16"/>
                  <w:szCs w:val="16"/>
                  <w:color w:val="0000FF"/>
                  <w:w w:val="92"/>
                </w:rPr>
                <w:t>by reference to Exhibit 4.1 to the Company’s Current Report on Form 8-K filed on August 7, 2019, SEC File Number 001-11993).</w:t>
              </w:r>
            </w:hyperlink>
          </w:p>
        </w:tc>
        <w:tc>
          <w:tcPr>
            <w:tcW w:w="14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4.11</w:t>
            </w:r>
          </w:p>
        </w:tc>
        <w:tc>
          <w:tcPr>
            <w:tcW w:w="500" w:type="dxa"/>
            <w:vAlign w:val="bottom"/>
          </w:tcPr>
          <w:p>
            <w:pPr>
              <w:spacing w:after="0"/>
              <w:rPr>
                <w:sz w:val="20"/>
                <w:szCs w:val="20"/>
                <w:color w:val="auto"/>
              </w:rPr>
            </w:pPr>
          </w:p>
        </w:tc>
        <w:tc>
          <w:tcPr>
            <w:tcW w:w="9880" w:type="dxa"/>
            <w:vAlign w:val="bottom"/>
            <w:gridSpan w:val="28"/>
          </w:tcPr>
          <w:p>
            <w:pPr>
              <w:spacing w:after="0"/>
              <w:rPr>
                <w:rFonts w:ascii="Arial" w:cs="Arial" w:eastAsia="Arial" w:hAnsi="Arial"/>
                <w:sz w:val="16"/>
                <w:szCs w:val="16"/>
                <w:color w:val="0000FF"/>
                <w:w w:val="93"/>
              </w:rPr>
            </w:pPr>
            <w:hyperlink r:id="rId39">
              <w:r>
                <w:rPr>
                  <w:rFonts w:ascii="Arial" w:cs="Arial" w:eastAsia="Arial" w:hAnsi="Arial"/>
                  <w:sz w:val="16"/>
                  <w:szCs w:val="16"/>
                  <w:color w:val="0000FF"/>
                  <w:w w:val="93"/>
                </w:rPr>
                <w:t>Supplemental Indenture, dated November 18, 2019, by and between Option Care Health, Inc., as parent issuer, and Ankura Trust Company, LLC, as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780" w:type="dxa"/>
            <w:vAlign w:val="bottom"/>
            <w:tcBorders>
              <w:bottom w:val="single" w:sz="8" w:color="0000FF"/>
            </w:tcBorders>
            <w:gridSpan w:val="26"/>
          </w:tcPr>
          <w:p>
            <w:pPr>
              <w:spacing w:after="0" w:line="183" w:lineRule="exact"/>
              <w:rPr>
                <w:rFonts w:ascii="Arial" w:cs="Arial" w:eastAsia="Arial" w:hAnsi="Arial"/>
                <w:sz w:val="16"/>
                <w:szCs w:val="16"/>
                <w:color w:val="0000FF"/>
                <w:w w:val="92"/>
              </w:rPr>
            </w:pPr>
            <w:hyperlink r:id="rId39">
              <w:r>
                <w:rPr>
                  <w:rFonts w:ascii="Arial" w:cs="Arial" w:eastAsia="Arial" w:hAnsi="Arial"/>
                  <w:sz w:val="16"/>
                  <w:szCs w:val="16"/>
                  <w:color w:val="0000FF"/>
                  <w:w w:val="92"/>
                </w:rPr>
                <w:t>trustee and collateral agent (incorporated by reference to Exhibit 4.1 to the Company’s Current Report on Form 8-K filed on November 19, 2019, SEC</w:t>
              </w:r>
            </w:hyperlink>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Borders>
              <w:bottom w:val="single" w:sz="8" w:color="0000FF"/>
            </w:tcBorders>
            <w:gridSpan w:val="3"/>
          </w:tcPr>
          <w:p>
            <w:pPr>
              <w:spacing w:after="0" w:line="183" w:lineRule="exact"/>
              <w:rPr>
                <w:rFonts w:ascii="Arial" w:cs="Arial" w:eastAsia="Arial" w:hAnsi="Arial"/>
                <w:sz w:val="16"/>
                <w:szCs w:val="16"/>
                <w:color w:val="0000FF"/>
                <w:w w:val="92"/>
              </w:rPr>
            </w:pPr>
            <w:hyperlink r:id="rId39">
              <w:r>
                <w:rPr>
                  <w:rFonts w:ascii="Arial" w:cs="Arial" w:eastAsia="Arial" w:hAnsi="Arial"/>
                  <w:sz w:val="16"/>
                  <w:szCs w:val="16"/>
                  <w:color w:val="0000FF"/>
                  <w:w w:val="92"/>
                </w:rPr>
                <w:t>File Number 001-11993).</w:t>
              </w:r>
            </w:hyperlink>
          </w:p>
        </w:tc>
        <w:tc>
          <w:tcPr>
            <w:tcW w:w="822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4.12</w:t>
            </w:r>
          </w:p>
        </w:tc>
        <w:tc>
          <w:tcPr>
            <w:tcW w:w="500" w:type="dxa"/>
            <w:vAlign w:val="bottom"/>
          </w:tcPr>
          <w:p>
            <w:pPr>
              <w:spacing w:after="0"/>
              <w:rPr>
                <w:sz w:val="20"/>
                <w:szCs w:val="20"/>
                <w:color w:val="auto"/>
              </w:rPr>
            </w:pPr>
          </w:p>
        </w:tc>
        <w:tc>
          <w:tcPr>
            <w:tcW w:w="9880" w:type="dxa"/>
            <w:vAlign w:val="bottom"/>
            <w:gridSpan w:val="28"/>
          </w:tcPr>
          <w:p>
            <w:pPr>
              <w:spacing w:after="0"/>
              <w:rPr>
                <w:rFonts w:ascii="Arial" w:cs="Arial" w:eastAsia="Arial" w:hAnsi="Arial"/>
                <w:sz w:val="16"/>
                <w:szCs w:val="16"/>
                <w:color w:val="0000FF"/>
              </w:rPr>
            </w:pPr>
            <w:hyperlink w:anchor="page80">
              <w:r>
                <w:rPr>
                  <w:rFonts w:ascii="Arial" w:cs="Arial" w:eastAsia="Arial" w:hAnsi="Arial"/>
                  <w:sz w:val="16"/>
                  <w:szCs w:val="16"/>
                  <w:color w:val="0000FF"/>
                </w:rPr>
                <w:t>Description of Option Care Health Inc.’s registered securities (filed herewith).</w:t>
              </w:r>
            </w:hyperlink>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ind w:left="40"/>
              <w:spacing w:after="0"/>
              <w:rPr>
                <w:sz w:val="20"/>
                <w:szCs w:val="20"/>
                <w:color w:val="auto"/>
              </w:rPr>
            </w:pPr>
            <w:r>
              <w:rPr>
                <w:rFonts w:ascii="Arial" w:cs="Arial" w:eastAsia="Arial" w:hAnsi="Arial"/>
                <w:sz w:val="16"/>
                <w:szCs w:val="16"/>
                <w:color w:val="auto"/>
              </w:rPr>
              <w:t>10.1</w:t>
            </w:r>
            <w:r>
              <w:rPr>
                <w:rFonts w:ascii="Arial" w:cs="Arial" w:eastAsia="Arial" w:hAnsi="Arial"/>
                <w:sz w:val="18"/>
                <w:szCs w:val="18"/>
                <w:color w:val="auto"/>
              </w:rPr>
              <w:t>†</w:t>
            </w: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vMerge w:val="continue"/>
          </w:tcPr>
          <w:p>
            <w:pPr>
              <w:spacing w:after="0"/>
              <w:rPr>
                <w:sz w:val="21"/>
                <w:szCs w:val="21"/>
                <w:color w:val="auto"/>
              </w:rPr>
            </w:pPr>
          </w:p>
        </w:tc>
        <w:tc>
          <w:tcPr>
            <w:tcW w:w="9880" w:type="dxa"/>
            <w:vAlign w:val="bottom"/>
            <w:gridSpan w:val="28"/>
          </w:tcPr>
          <w:p>
            <w:pPr>
              <w:spacing w:after="0"/>
              <w:rPr>
                <w:rFonts w:ascii="Arial" w:cs="Arial" w:eastAsia="Arial" w:hAnsi="Arial"/>
                <w:sz w:val="16"/>
                <w:szCs w:val="16"/>
                <w:color w:val="0000FF"/>
              </w:rPr>
            </w:pPr>
            <w:hyperlink r:id="rId40">
              <w:r>
                <w:rPr>
                  <w:rFonts w:ascii="Arial" w:cs="Arial" w:eastAsia="Arial" w:hAnsi="Arial"/>
                  <w:sz w:val="16"/>
                  <w:szCs w:val="16"/>
                  <w:color w:val="0000FF"/>
                </w:rPr>
                <w:t>Employee Stock Purchase Plan. (Incorporated by reference to the definitive proxy statement filed on April 2, 2013).</w:t>
              </w:r>
            </w:hyperlink>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ind w:left="40"/>
              <w:spacing w:after="0"/>
              <w:rPr>
                <w:sz w:val="20"/>
                <w:szCs w:val="20"/>
                <w:color w:val="auto"/>
              </w:rPr>
            </w:pPr>
            <w:r>
              <w:rPr>
                <w:rFonts w:ascii="Arial" w:cs="Arial" w:eastAsia="Arial" w:hAnsi="Arial"/>
                <w:sz w:val="16"/>
                <w:szCs w:val="16"/>
                <w:color w:val="auto"/>
              </w:rPr>
              <w:t>10.2</w:t>
            </w:r>
            <w:r>
              <w:rPr>
                <w:rFonts w:ascii="Arial" w:cs="Arial" w:eastAsia="Arial" w:hAnsi="Arial"/>
                <w:sz w:val="18"/>
                <w:szCs w:val="18"/>
                <w:color w:val="auto"/>
              </w:rPr>
              <w:t>†</w:t>
            </w: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gridSpan w:val="2"/>
            <w:vMerge w:val="continue"/>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w w:val="92"/>
              </w:rPr>
            </w:pPr>
            <w:hyperlink r:id="rId41">
              <w:r>
                <w:rPr>
                  <w:rFonts w:ascii="Arial" w:cs="Arial" w:eastAsia="Arial" w:hAnsi="Arial"/>
                  <w:sz w:val="16"/>
                  <w:szCs w:val="16"/>
                  <w:color w:val="0000FF"/>
                  <w:w w:val="92"/>
                </w:rPr>
                <w:t>First Amendment to Employee Stock Purchase Plan. (Incorporated by reference to Exhibit 10.5 to the Company’s Form 10-Q filed on August 10, 2015,</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0" w:type="dxa"/>
            <w:vAlign w:val="bottom"/>
            <w:tcBorders>
              <w:bottom w:val="single" w:sz="8" w:color="0000FF"/>
            </w:tcBorders>
            <w:gridSpan w:val="4"/>
          </w:tcPr>
          <w:p>
            <w:pPr>
              <w:spacing w:after="0" w:line="183" w:lineRule="exact"/>
              <w:rPr>
                <w:rFonts w:ascii="Arial" w:cs="Arial" w:eastAsia="Arial" w:hAnsi="Arial"/>
                <w:sz w:val="16"/>
                <w:szCs w:val="16"/>
                <w:color w:val="0000FF"/>
                <w:w w:val="91"/>
              </w:rPr>
            </w:pPr>
            <w:hyperlink r:id="rId41">
              <w:r>
                <w:rPr>
                  <w:rFonts w:ascii="Arial" w:cs="Arial" w:eastAsia="Arial" w:hAnsi="Arial"/>
                  <w:sz w:val="16"/>
                  <w:szCs w:val="16"/>
                  <w:color w:val="0000FF"/>
                  <w:w w:val="91"/>
                </w:rPr>
                <w:t>SEC File Number 000-28740).</w:t>
              </w:r>
            </w:hyperlink>
          </w:p>
        </w:tc>
        <w:tc>
          <w:tcPr>
            <w:tcW w:w="788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520" w:type="dxa"/>
            <w:vAlign w:val="bottom"/>
            <w:gridSpan w:val="2"/>
          </w:tcPr>
          <w:p>
            <w:pPr>
              <w:ind w:left="40"/>
              <w:spacing w:after="0"/>
              <w:rPr>
                <w:sz w:val="20"/>
                <w:szCs w:val="20"/>
                <w:color w:val="auto"/>
              </w:rPr>
            </w:pPr>
            <w:r>
              <w:rPr>
                <w:rFonts w:ascii="Arial" w:cs="Arial" w:eastAsia="Arial" w:hAnsi="Arial"/>
                <w:sz w:val="16"/>
                <w:szCs w:val="16"/>
                <w:color w:val="auto"/>
              </w:rPr>
              <w:t>10.3</w:t>
            </w:r>
            <w:r>
              <w:rPr>
                <w:rFonts w:ascii="Arial" w:cs="Arial" w:eastAsia="Arial" w:hAnsi="Arial"/>
                <w:sz w:val="18"/>
                <w:szCs w:val="18"/>
                <w:color w:val="auto"/>
              </w:rPr>
              <w:t>†</w:t>
            </w:r>
          </w:p>
        </w:tc>
        <w:tc>
          <w:tcPr>
            <w:tcW w:w="9180" w:type="dxa"/>
            <w:vAlign w:val="bottom"/>
            <w:tcBorders>
              <w:bottom w:val="single" w:sz="8" w:color="0000FF"/>
            </w:tcBorders>
            <w:gridSpan w:val="20"/>
          </w:tcPr>
          <w:p>
            <w:pPr>
              <w:spacing w:after="0"/>
              <w:rPr>
                <w:rFonts w:ascii="Arial" w:cs="Arial" w:eastAsia="Arial" w:hAnsi="Arial"/>
                <w:sz w:val="16"/>
                <w:szCs w:val="16"/>
                <w:color w:val="0000FF"/>
                <w:w w:val="93"/>
              </w:rPr>
            </w:pPr>
            <w:hyperlink r:id="rId42">
              <w:r>
                <w:rPr>
                  <w:rFonts w:ascii="Arial" w:cs="Arial" w:eastAsia="Arial" w:hAnsi="Arial"/>
                  <w:sz w:val="16"/>
                  <w:szCs w:val="16"/>
                  <w:color w:val="0000FF"/>
                  <w:w w:val="93"/>
                </w:rPr>
                <w:t>BioScrip, Inc. 2018 Equity Incentive Plan (Incorporated by reference to Appendix A to the definitive proxy statement filed on April 4, 2018).</w:t>
              </w:r>
            </w:hyperlink>
          </w:p>
        </w:tc>
        <w:tc>
          <w:tcPr>
            <w:tcW w:w="70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ind w:left="40"/>
              <w:spacing w:after="0"/>
              <w:rPr>
                <w:sz w:val="20"/>
                <w:szCs w:val="20"/>
                <w:color w:val="auto"/>
              </w:rPr>
            </w:pPr>
            <w:r>
              <w:rPr>
                <w:rFonts w:ascii="Arial" w:cs="Arial" w:eastAsia="Arial" w:hAnsi="Arial"/>
                <w:sz w:val="16"/>
                <w:szCs w:val="16"/>
                <w:color w:val="auto"/>
              </w:rPr>
              <w:t>10.4</w:t>
            </w:r>
            <w:r>
              <w:rPr>
                <w:rFonts w:ascii="Arial" w:cs="Arial" w:eastAsia="Arial" w:hAnsi="Arial"/>
                <w:sz w:val="18"/>
                <w:szCs w:val="18"/>
                <w:color w:val="auto"/>
              </w:rPr>
              <w:t>†</w:t>
            </w:r>
          </w:p>
        </w:tc>
        <w:tc>
          <w:tcPr>
            <w:tcW w:w="9880" w:type="dxa"/>
            <w:vAlign w:val="bottom"/>
            <w:tcBorders>
              <w:bottom w:val="single" w:sz="8" w:color="0000FF"/>
            </w:tcBorders>
            <w:gridSpan w:val="28"/>
          </w:tcPr>
          <w:p>
            <w:pPr>
              <w:spacing w:after="0"/>
              <w:rPr>
                <w:rFonts w:ascii="Arial" w:cs="Arial" w:eastAsia="Arial" w:hAnsi="Arial"/>
                <w:sz w:val="16"/>
                <w:szCs w:val="16"/>
                <w:color w:val="0000FF"/>
                <w:w w:val="95"/>
              </w:rPr>
            </w:pPr>
            <w:hyperlink r:id="rId42">
              <w:r>
                <w:rPr>
                  <w:rFonts w:ascii="Arial" w:cs="Arial" w:eastAsia="Arial" w:hAnsi="Arial"/>
                  <w:sz w:val="16"/>
                  <w:szCs w:val="16"/>
                  <w:color w:val="0000FF"/>
                  <w:w w:val="95"/>
                </w:rPr>
                <w:t>Second Amendment to Employee Stock Purchase Plan (Incorporated by reference to Appendix B to the definitive proxy statement filed on April 4,</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Borders>
              <w:bottom w:val="single" w:sz="8" w:color="0000FF"/>
            </w:tcBorders>
          </w:tcPr>
          <w:p>
            <w:pPr>
              <w:spacing w:after="0" w:line="183" w:lineRule="exact"/>
              <w:rPr>
                <w:rFonts w:ascii="Arial" w:cs="Arial" w:eastAsia="Arial" w:hAnsi="Arial"/>
                <w:sz w:val="16"/>
                <w:szCs w:val="16"/>
                <w:color w:val="0000FF"/>
                <w:w w:val="88"/>
              </w:rPr>
            </w:pPr>
            <w:hyperlink r:id="rId42">
              <w:r>
                <w:rPr>
                  <w:rFonts w:ascii="Arial" w:cs="Arial" w:eastAsia="Arial" w:hAnsi="Arial"/>
                  <w:sz w:val="16"/>
                  <w:szCs w:val="16"/>
                  <w:color w:val="0000FF"/>
                  <w:w w:val="88"/>
                </w:rPr>
                <w:t>2018).</w:t>
              </w:r>
            </w:hyperlink>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10.5</w:t>
            </w:r>
          </w:p>
        </w:tc>
        <w:tc>
          <w:tcPr>
            <w:tcW w:w="500" w:type="dxa"/>
            <w:vAlign w:val="bottom"/>
          </w:tcPr>
          <w:p>
            <w:pPr>
              <w:spacing w:after="0"/>
              <w:rPr>
                <w:sz w:val="20"/>
                <w:szCs w:val="20"/>
                <w:color w:val="auto"/>
              </w:rPr>
            </w:pPr>
          </w:p>
        </w:tc>
        <w:tc>
          <w:tcPr>
            <w:tcW w:w="9880" w:type="dxa"/>
            <w:vAlign w:val="bottom"/>
            <w:gridSpan w:val="28"/>
          </w:tcPr>
          <w:p>
            <w:pPr>
              <w:spacing w:after="0"/>
              <w:rPr>
                <w:rFonts w:ascii="Arial" w:cs="Arial" w:eastAsia="Arial" w:hAnsi="Arial"/>
                <w:sz w:val="16"/>
                <w:szCs w:val="16"/>
                <w:color w:val="0000FF"/>
                <w:w w:val="93"/>
              </w:rPr>
            </w:pPr>
            <w:hyperlink r:id="rId43">
              <w:r>
                <w:rPr>
                  <w:rFonts w:ascii="Arial" w:cs="Arial" w:eastAsia="Arial" w:hAnsi="Arial"/>
                  <w:sz w:val="16"/>
                  <w:szCs w:val="16"/>
                  <w:color w:val="0000FF"/>
                  <w:w w:val="93"/>
                </w:rPr>
                <w:t>Amended and Restated Warrant Agreement, dated as of March 14, 2019, by and among BioScrip, Inc. and the Holders (as defined therein) signatory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w w:val="96"/>
              </w:rPr>
            </w:pPr>
            <w:hyperlink r:id="rId43">
              <w:r>
                <w:rPr>
                  <w:rFonts w:ascii="Arial" w:cs="Arial" w:eastAsia="Arial" w:hAnsi="Arial"/>
                  <w:sz w:val="16"/>
                  <w:szCs w:val="16"/>
                  <w:color w:val="0000FF"/>
                  <w:w w:val="96"/>
                </w:rPr>
                <w:t>thereto (incorporated by reference to Exhibit 10.2 to the Company’s Current Report on Form 8-K filed on March 15, 2019, SEC File Number 001-</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88"/>
              </w:rPr>
            </w:pPr>
            <w:hyperlink r:id="rId43">
              <w:r>
                <w:rPr>
                  <w:rFonts w:ascii="Arial" w:cs="Arial" w:eastAsia="Arial" w:hAnsi="Arial"/>
                  <w:sz w:val="16"/>
                  <w:szCs w:val="16"/>
                  <w:color w:val="0000FF"/>
                  <w:w w:val="88"/>
                </w:rPr>
                <w:t>11993).</w:t>
              </w:r>
            </w:hyperlink>
          </w:p>
        </w:tc>
        <w:tc>
          <w:tcPr>
            <w:tcW w:w="11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21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2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10.6</w:t>
            </w:r>
          </w:p>
        </w:tc>
        <w:tc>
          <w:tcPr>
            <w:tcW w:w="500" w:type="dxa"/>
            <w:vAlign w:val="bottom"/>
          </w:tcPr>
          <w:p>
            <w:pPr>
              <w:spacing w:after="0"/>
              <w:rPr>
                <w:sz w:val="20"/>
                <w:szCs w:val="20"/>
                <w:color w:val="auto"/>
              </w:rPr>
            </w:pPr>
          </w:p>
        </w:tc>
        <w:tc>
          <w:tcPr>
            <w:tcW w:w="9680" w:type="dxa"/>
            <w:vAlign w:val="bottom"/>
            <w:tcBorders>
              <w:bottom w:val="single" w:sz="8" w:color="0000FF"/>
            </w:tcBorders>
            <w:gridSpan w:val="24"/>
          </w:tcPr>
          <w:p>
            <w:pPr>
              <w:spacing w:after="0"/>
              <w:rPr>
                <w:rFonts w:ascii="Arial" w:cs="Arial" w:eastAsia="Arial" w:hAnsi="Arial"/>
                <w:sz w:val="16"/>
                <w:szCs w:val="16"/>
                <w:color w:val="0000FF"/>
                <w:w w:val="92"/>
              </w:rPr>
            </w:pPr>
            <w:hyperlink r:id="rId44">
              <w:r>
                <w:rPr>
                  <w:rFonts w:ascii="Arial" w:cs="Arial" w:eastAsia="Arial" w:hAnsi="Arial"/>
                  <w:sz w:val="16"/>
                  <w:szCs w:val="16"/>
                  <w:color w:val="0000FF"/>
                  <w:w w:val="92"/>
                </w:rPr>
                <w:t>Form of Letter Agreement, dated March 14, 2019, by and among BioScrip, Inc. and each of the Holders (incorporated by reference to Exhibit 10.3 to</w:t>
              </w:r>
            </w:hyperlink>
          </w:p>
        </w:tc>
        <w:tc>
          <w:tcPr>
            <w:tcW w:w="2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the Company’s Current Report on Form 8-K filed on March 15, 2019, SEC File Number 001-11993).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10.7</w:t>
            </w:r>
          </w:p>
        </w:tc>
        <w:tc>
          <w:tcPr>
            <w:tcW w:w="500" w:type="dxa"/>
            <w:vAlign w:val="bottom"/>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w w:val="93"/>
              </w:rPr>
            </w:pPr>
            <w:hyperlink r:id="rId45">
              <w:r>
                <w:rPr>
                  <w:rFonts w:ascii="Arial" w:cs="Arial" w:eastAsia="Arial" w:hAnsi="Arial"/>
                  <w:sz w:val="16"/>
                  <w:szCs w:val="16"/>
                  <w:color w:val="0000FF"/>
                  <w:w w:val="93"/>
                </w:rPr>
                <w:t>Registration Rights Agreement, dated as of August 6, 2019, by and among BioScrip, Inc. and HC Group Holdings I, LLC (incorporated by reference to</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540" w:type="dxa"/>
            <w:vAlign w:val="bottom"/>
            <w:tcBorders>
              <w:bottom w:val="single" w:sz="8" w:color="0000FF"/>
            </w:tcBorders>
            <w:gridSpan w:val="16"/>
          </w:tcPr>
          <w:p>
            <w:pPr>
              <w:spacing w:after="0" w:line="183" w:lineRule="exact"/>
              <w:rPr>
                <w:rFonts w:ascii="Arial" w:cs="Arial" w:eastAsia="Arial" w:hAnsi="Arial"/>
                <w:sz w:val="16"/>
                <w:szCs w:val="16"/>
                <w:color w:val="0000FF"/>
                <w:w w:val="93"/>
              </w:rPr>
            </w:pPr>
            <w:hyperlink r:id="rId45">
              <w:r>
                <w:rPr>
                  <w:rFonts w:ascii="Arial" w:cs="Arial" w:eastAsia="Arial" w:hAnsi="Arial"/>
                  <w:sz w:val="16"/>
                  <w:szCs w:val="16"/>
                  <w:color w:val="0000FF"/>
                  <w:w w:val="93"/>
                </w:rPr>
                <w:t>Exhibit 10.1 to the Company’s Current Report on Form 8-K filed on August 7, 2019, SEC File Number 001-11993).</w:t>
              </w:r>
            </w:hyperlink>
          </w:p>
        </w:tc>
        <w:tc>
          <w:tcPr>
            <w:tcW w:w="23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10.8</w:t>
            </w:r>
          </w:p>
        </w:tc>
        <w:tc>
          <w:tcPr>
            <w:tcW w:w="500" w:type="dxa"/>
            <w:vAlign w:val="bottom"/>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w w:val="98"/>
              </w:rPr>
            </w:pPr>
            <w:hyperlink r:id="rId46">
              <w:r>
                <w:rPr>
                  <w:rFonts w:ascii="Arial" w:cs="Arial" w:eastAsia="Arial" w:hAnsi="Arial"/>
                  <w:sz w:val="16"/>
                  <w:szCs w:val="16"/>
                  <w:color w:val="0000FF"/>
                  <w:w w:val="98"/>
                </w:rPr>
                <w:t>Director Nomination Agreement, dated as of August 6, 2019, by and among the BioScrip, Inc. and HC Group Holdings I, LLC (incorporated by</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rPr>
            </w:pPr>
            <w:hyperlink r:id="rId46">
              <w:r>
                <w:rPr>
                  <w:rFonts w:ascii="Arial" w:cs="Arial" w:eastAsia="Arial" w:hAnsi="Arial"/>
                  <w:sz w:val="16"/>
                  <w:szCs w:val="16"/>
                  <w:color w:val="0000FF"/>
                </w:rPr>
                <w:t>reference to Exhibit 10.2 to the Company’s Current Report on Form 8-K filed on August 7, 2019, SEC File Number 001-11993).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10.9</w:t>
            </w:r>
          </w:p>
        </w:tc>
        <w:tc>
          <w:tcPr>
            <w:tcW w:w="500" w:type="dxa"/>
            <w:vAlign w:val="bottom"/>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w w:val="96"/>
              </w:rPr>
            </w:pPr>
            <w:hyperlink r:id="rId47">
              <w:r>
                <w:rPr>
                  <w:rFonts w:ascii="Arial" w:cs="Arial" w:eastAsia="Arial" w:hAnsi="Arial"/>
                  <w:sz w:val="16"/>
                  <w:szCs w:val="16"/>
                  <w:color w:val="0000FF"/>
                  <w:w w:val="96"/>
                </w:rPr>
                <w:t>First Lien Credit Agreement, dated as of August 6, 2019, among HC Group Holdings II, LLC, as the Initial Borrower, BioScrip, Inc., as the Parent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w w:val="95"/>
              </w:rPr>
            </w:pPr>
            <w:hyperlink r:id="rId47">
              <w:r>
                <w:rPr>
                  <w:rFonts w:ascii="Arial" w:cs="Arial" w:eastAsia="Arial" w:hAnsi="Arial"/>
                  <w:sz w:val="16"/>
                  <w:szCs w:val="16"/>
                  <w:color w:val="0000FF"/>
                  <w:w w:val="95"/>
                </w:rPr>
                <w:t>Borrower, the guarantors party thereto from time to time, Bank of America, N.A., as the Administrative Agent, the lenders party thereto from time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tcBorders>
              <w:bottom w:val="single" w:sz="8" w:color="0000FF"/>
            </w:tcBorders>
            <w:gridSpan w:val="28"/>
          </w:tcPr>
          <w:p>
            <w:pPr>
              <w:spacing w:after="0" w:line="183" w:lineRule="exact"/>
              <w:rPr>
                <w:rFonts w:ascii="Arial" w:cs="Arial" w:eastAsia="Arial" w:hAnsi="Arial"/>
                <w:sz w:val="16"/>
                <w:szCs w:val="16"/>
                <w:color w:val="0000FF"/>
                <w:w w:val="96"/>
              </w:rPr>
            </w:pPr>
            <w:hyperlink r:id="rId47">
              <w:r>
                <w:rPr>
                  <w:rFonts w:ascii="Arial" w:cs="Arial" w:eastAsia="Arial" w:hAnsi="Arial"/>
                  <w:sz w:val="16"/>
                  <w:szCs w:val="16"/>
                  <w:color w:val="0000FF"/>
                  <w:w w:val="96"/>
                </w:rPr>
                <w:t>time, BofA Securities, Inc., as Lead Arranger and Bookrunner and as Syndication Agent and Documentation Agent (incorporated by reference to</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540" w:type="dxa"/>
            <w:vAlign w:val="bottom"/>
            <w:tcBorders>
              <w:bottom w:val="single" w:sz="8" w:color="0000FF"/>
            </w:tcBorders>
            <w:gridSpan w:val="16"/>
          </w:tcPr>
          <w:p>
            <w:pPr>
              <w:spacing w:after="0" w:line="183" w:lineRule="exact"/>
              <w:rPr>
                <w:rFonts w:ascii="Arial" w:cs="Arial" w:eastAsia="Arial" w:hAnsi="Arial"/>
                <w:sz w:val="16"/>
                <w:szCs w:val="16"/>
                <w:color w:val="0000FF"/>
                <w:w w:val="93"/>
              </w:rPr>
            </w:pPr>
            <w:hyperlink r:id="rId47">
              <w:r>
                <w:rPr>
                  <w:rFonts w:ascii="Arial" w:cs="Arial" w:eastAsia="Arial" w:hAnsi="Arial"/>
                  <w:sz w:val="16"/>
                  <w:szCs w:val="16"/>
                  <w:color w:val="0000FF"/>
                  <w:w w:val="93"/>
                </w:rPr>
                <w:t>Exhibit 10.3 to the Company’s Current Report on Form 8-K filed on August 7, 2019, SEC File Number 001-11993).</w:t>
              </w:r>
            </w:hyperlink>
          </w:p>
        </w:tc>
        <w:tc>
          <w:tcPr>
            <w:tcW w:w="234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10.10</w:t>
            </w:r>
          </w:p>
        </w:tc>
        <w:tc>
          <w:tcPr>
            <w:tcW w:w="500" w:type="dxa"/>
            <w:vAlign w:val="bottom"/>
          </w:tcPr>
          <w:p>
            <w:pPr>
              <w:spacing w:after="0"/>
              <w:rPr>
                <w:sz w:val="20"/>
                <w:szCs w:val="20"/>
                <w:color w:val="auto"/>
              </w:rPr>
            </w:pPr>
          </w:p>
        </w:tc>
        <w:tc>
          <w:tcPr>
            <w:tcW w:w="9880" w:type="dxa"/>
            <w:vAlign w:val="bottom"/>
            <w:tcBorders>
              <w:bottom w:val="single" w:sz="8" w:color="0000FF"/>
            </w:tcBorders>
            <w:gridSpan w:val="28"/>
          </w:tcPr>
          <w:p>
            <w:pPr>
              <w:spacing w:after="0"/>
              <w:rPr>
                <w:rFonts w:ascii="Arial" w:cs="Arial" w:eastAsia="Arial" w:hAnsi="Arial"/>
                <w:sz w:val="16"/>
                <w:szCs w:val="16"/>
                <w:color w:val="0000FF"/>
              </w:rPr>
            </w:pPr>
            <w:hyperlink r:id="rId48">
              <w:r>
                <w:rPr>
                  <w:rFonts w:ascii="Arial" w:cs="Arial" w:eastAsia="Arial" w:hAnsi="Arial"/>
                  <w:sz w:val="16"/>
                  <w:szCs w:val="16"/>
                  <w:color w:val="0000FF"/>
                </w:rPr>
                <w:t>ABL Credit Agreement, dated as of August 6, 2019, among HC Group Holdings II, LLC, as the Initial Borrower, BioScrip, Inc., as the Parent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w w:val="94"/>
              </w:rPr>
            </w:pPr>
            <w:hyperlink r:id="rId48">
              <w:r>
                <w:rPr>
                  <w:rFonts w:ascii="Arial" w:cs="Arial" w:eastAsia="Arial" w:hAnsi="Arial"/>
                  <w:sz w:val="16"/>
                  <w:szCs w:val="16"/>
                  <w:color w:val="0000FF"/>
                  <w:w w:val="94"/>
                </w:rPr>
                <w:t>Borrower, and Bank of America N.A., as the Administrative Agent, Issuing Bank and Swing Line Lender, the other lenders party thereto from time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40" w:type="dxa"/>
            <w:vAlign w:val="bottom"/>
            <w:gridSpan w:val="11"/>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tcBorders>
              <w:bottom w:val="single" w:sz="8" w:color="0000FF"/>
            </w:tcBorders>
            <w:gridSpan w:val="28"/>
          </w:tcPr>
          <w:p>
            <w:pPr>
              <w:spacing w:after="0" w:line="183" w:lineRule="exact"/>
              <w:rPr>
                <w:rFonts w:ascii="Arial" w:cs="Arial" w:eastAsia="Arial" w:hAnsi="Arial"/>
                <w:sz w:val="16"/>
                <w:szCs w:val="16"/>
                <w:color w:val="0000FF"/>
                <w:w w:val="92"/>
              </w:rPr>
            </w:pPr>
            <w:hyperlink r:id="rId48">
              <w:r>
                <w:rPr>
                  <w:rFonts w:ascii="Arial" w:cs="Arial" w:eastAsia="Arial" w:hAnsi="Arial"/>
                  <w:sz w:val="16"/>
                  <w:szCs w:val="16"/>
                  <w:color w:val="0000FF"/>
                  <w:w w:val="92"/>
                </w:rPr>
                <w:t>time and Bank of America, N.A. and ACF Finco I LP as Joint Lead Arrangers and Joint Lead Bookrunners (incorporated by reference to Exhibit 10.4 to</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560" w:type="dxa"/>
            <w:vAlign w:val="bottom"/>
            <w:tcBorders>
              <w:bottom w:val="single" w:sz="8" w:color="0000FF"/>
            </w:tcBorders>
            <w:gridSpan w:val="11"/>
          </w:tcPr>
          <w:p>
            <w:pPr>
              <w:spacing w:after="0" w:line="183" w:lineRule="exact"/>
              <w:rPr>
                <w:rFonts w:ascii="Arial" w:cs="Arial" w:eastAsia="Arial" w:hAnsi="Arial"/>
                <w:sz w:val="16"/>
                <w:szCs w:val="16"/>
                <w:color w:val="0000FF"/>
                <w:w w:val="92"/>
              </w:rPr>
            </w:pPr>
            <w:hyperlink r:id="rId48">
              <w:r>
                <w:rPr>
                  <w:rFonts w:ascii="Arial" w:cs="Arial" w:eastAsia="Arial" w:hAnsi="Arial"/>
                  <w:sz w:val="16"/>
                  <w:szCs w:val="16"/>
                  <w:color w:val="0000FF"/>
                  <w:w w:val="92"/>
                </w:rPr>
                <w:t>the Company’s Current Report on Form 8-K filed on August 7, 2019, SEC File Number 001-11993).</w:t>
              </w:r>
            </w:hyperlink>
          </w:p>
        </w:tc>
        <w:tc>
          <w:tcPr>
            <w:tcW w:w="33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10.11</w:t>
            </w:r>
          </w:p>
        </w:tc>
        <w:tc>
          <w:tcPr>
            <w:tcW w:w="500" w:type="dxa"/>
            <w:vAlign w:val="bottom"/>
          </w:tcPr>
          <w:p>
            <w:pPr>
              <w:spacing w:after="0"/>
              <w:rPr>
                <w:sz w:val="20"/>
                <w:szCs w:val="20"/>
                <w:color w:val="auto"/>
              </w:rPr>
            </w:pPr>
          </w:p>
        </w:tc>
        <w:tc>
          <w:tcPr>
            <w:tcW w:w="9880" w:type="dxa"/>
            <w:vAlign w:val="bottom"/>
            <w:gridSpan w:val="28"/>
          </w:tcPr>
          <w:p>
            <w:pPr>
              <w:spacing w:after="0"/>
              <w:rPr>
                <w:rFonts w:ascii="Arial" w:cs="Arial" w:eastAsia="Arial" w:hAnsi="Arial"/>
                <w:sz w:val="16"/>
                <w:szCs w:val="16"/>
                <w:color w:val="0000FF"/>
                <w:w w:val="94"/>
              </w:rPr>
            </w:pPr>
            <w:hyperlink r:id="rId49">
              <w:r>
                <w:rPr>
                  <w:rFonts w:ascii="Arial" w:cs="Arial" w:eastAsia="Arial" w:hAnsi="Arial"/>
                  <w:sz w:val="16"/>
                  <w:szCs w:val="16"/>
                  <w:color w:val="0000FF"/>
                  <w:w w:val="94"/>
                </w:rPr>
                <w:t>Note Purchase Agreement, dated as of August 6, 2019, among HC Group Holdings II, LLC, as the Initial Issuer, BioScrip, Inc., as the Parent Issuer,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40" w:type="dxa"/>
            <w:vAlign w:val="bottom"/>
            <w:gridSpan w:val="11"/>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80" w:type="dxa"/>
            <w:vAlign w:val="bottom"/>
            <w:gridSpan w:val="28"/>
          </w:tcPr>
          <w:p>
            <w:pPr>
              <w:spacing w:after="0" w:line="183" w:lineRule="exact"/>
              <w:rPr>
                <w:rFonts w:ascii="Arial" w:cs="Arial" w:eastAsia="Arial" w:hAnsi="Arial"/>
                <w:sz w:val="16"/>
                <w:szCs w:val="16"/>
                <w:color w:val="0000FF"/>
                <w:w w:val="93"/>
              </w:rPr>
            </w:pPr>
            <w:hyperlink r:id="rId49">
              <w:r>
                <w:rPr>
                  <w:rFonts w:ascii="Arial" w:cs="Arial" w:eastAsia="Arial" w:hAnsi="Arial"/>
                  <w:sz w:val="16"/>
                  <w:szCs w:val="16"/>
                  <w:color w:val="0000FF"/>
                  <w:w w:val="93"/>
                </w:rPr>
                <w:t>subsidiary issuers and guarantors party thereto from time to time, and the several initial purchasers party thereto (incorporated by reference to Exhibit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6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49">
              <w:r>
                <w:rPr>
                  <w:rFonts w:ascii="Arial" w:cs="Arial" w:eastAsia="Arial" w:hAnsi="Arial"/>
                  <w:sz w:val="16"/>
                  <w:szCs w:val="16"/>
                  <w:color w:val="0000FF"/>
                </w:rPr>
                <w:t>10.</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to the Company’s Current Report on Form 8-K filed on August 7, 2019, SEC File Number 001-11993).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ind w:left="40"/>
              <w:spacing w:after="0"/>
              <w:rPr>
                <w:sz w:val="20"/>
                <w:szCs w:val="20"/>
                <w:color w:val="auto"/>
              </w:rPr>
            </w:pPr>
            <w:r>
              <w:rPr>
                <w:rFonts w:ascii="Arial" w:cs="Arial" w:eastAsia="Arial" w:hAnsi="Arial"/>
                <w:sz w:val="16"/>
                <w:szCs w:val="16"/>
                <w:color w:val="auto"/>
              </w:rPr>
              <w:t>10.12</w:t>
            </w:r>
            <w:r>
              <w:rPr>
                <w:rFonts w:ascii="Arial" w:cs="Arial" w:eastAsia="Arial" w:hAnsi="Arial"/>
                <w:sz w:val="18"/>
                <w:szCs w:val="18"/>
                <w:color w:val="auto"/>
              </w:rPr>
              <w:t>†</w:t>
            </w:r>
          </w:p>
        </w:tc>
        <w:tc>
          <w:tcPr>
            <w:tcW w:w="41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20" w:type="dxa"/>
            <w:vAlign w:val="bottom"/>
            <w:gridSpan w:val="2"/>
            <w:vMerge w:val="continue"/>
          </w:tcPr>
          <w:p>
            <w:pPr>
              <w:spacing w:after="0"/>
              <w:rPr>
                <w:sz w:val="20"/>
                <w:szCs w:val="20"/>
                <w:color w:val="auto"/>
              </w:rPr>
            </w:pPr>
          </w:p>
        </w:tc>
        <w:tc>
          <w:tcPr>
            <w:tcW w:w="9760" w:type="dxa"/>
            <w:vAlign w:val="bottom"/>
            <w:tcBorders>
              <w:bottom w:val="single" w:sz="8" w:color="0000FF"/>
            </w:tcBorders>
            <w:gridSpan w:val="25"/>
          </w:tcPr>
          <w:p>
            <w:pPr>
              <w:spacing w:after="0"/>
              <w:rPr>
                <w:rFonts w:ascii="Arial" w:cs="Arial" w:eastAsia="Arial" w:hAnsi="Arial"/>
                <w:sz w:val="16"/>
                <w:szCs w:val="16"/>
                <w:color w:val="0000FF"/>
                <w:w w:val="91"/>
              </w:rPr>
            </w:pPr>
            <w:hyperlink r:id="rId50">
              <w:r>
                <w:rPr>
                  <w:rFonts w:ascii="Arial" w:cs="Arial" w:eastAsia="Arial" w:hAnsi="Arial"/>
                  <w:sz w:val="16"/>
                  <w:szCs w:val="16"/>
                  <w:color w:val="0000FF"/>
                  <w:w w:val="91"/>
                </w:rPr>
                <w:t>John Rademacher Amended and Restated Employment Agreement entered into on February 23, 2018 (incorporated by reference to Exhibit 10.1 to the</w:t>
              </w:r>
            </w:hyperlink>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00" w:type="dxa"/>
            <w:vAlign w:val="bottom"/>
            <w:tcBorders>
              <w:bottom w:val="single" w:sz="8" w:color="0000FF"/>
            </w:tcBorders>
            <w:gridSpan w:val="9"/>
          </w:tcPr>
          <w:p>
            <w:pPr>
              <w:spacing w:after="0" w:line="183"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Company’s Current Report on Form 8-K filed on August 7, 2019, SEC File Number 001-11993).</w:t>
              </w:r>
            </w:hyperlink>
          </w:p>
        </w:tc>
        <w:tc>
          <w:tcPr>
            <w:tcW w:w="358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ind w:left="40"/>
              <w:spacing w:after="0"/>
              <w:rPr>
                <w:sz w:val="20"/>
                <w:szCs w:val="20"/>
                <w:color w:val="auto"/>
              </w:rPr>
            </w:pPr>
            <w:r>
              <w:rPr>
                <w:rFonts w:ascii="Arial" w:cs="Arial" w:eastAsia="Arial" w:hAnsi="Arial"/>
                <w:sz w:val="16"/>
                <w:szCs w:val="16"/>
                <w:color w:val="auto"/>
              </w:rPr>
              <w:t>10.13</w:t>
            </w:r>
            <w:r>
              <w:rPr>
                <w:rFonts w:ascii="Arial" w:cs="Arial" w:eastAsia="Arial" w:hAnsi="Arial"/>
                <w:sz w:val="18"/>
                <w:szCs w:val="18"/>
                <w:color w:val="auto"/>
              </w:rPr>
              <w:t>†</w:t>
            </w:r>
          </w:p>
        </w:tc>
        <w:tc>
          <w:tcPr>
            <w:tcW w:w="9880" w:type="dxa"/>
            <w:vAlign w:val="bottom"/>
            <w:tcBorders>
              <w:bottom w:val="single" w:sz="8" w:color="0000FF"/>
            </w:tcBorders>
            <w:gridSpan w:val="28"/>
          </w:tcPr>
          <w:p>
            <w:pPr>
              <w:spacing w:after="0"/>
              <w:rPr>
                <w:rFonts w:ascii="Arial" w:cs="Arial" w:eastAsia="Arial" w:hAnsi="Arial"/>
                <w:sz w:val="16"/>
                <w:szCs w:val="16"/>
                <w:color w:val="0000FF"/>
                <w:w w:val="92"/>
              </w:rPr>
            </w:pPr>
            <w:hyperlink r:id="rId51">
              <w:r>
                <w:rPr>
                  <w:rFonts w:ascii="Arial" w:cs="Arial" w:eastAsia="Arial" w:hAnsi="Arial"/>
                  <w:sz w:val="16"/>
                  <w:szCs w:val="16"/>
                  <w:color w:val="0000FF"/>
                  <w:w w:val="92"/>
                </w:rPr>
                <w:t>Michael Shapiro Employment Agreement entered into on October 13, 2015 (incorporated by reference to Exhibit 10.2 to the Company’s Current Report</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00" w:type="dxa"/>
            <w:vAlign w:val="bottom"/>
            <w:tcBorders>
              <w:bottom w:val="single" w:sz="8" w:color="0000FF"/>
            </w:tcBorders>
            <w:gridSpan w:val="7"/>
          </w:tcPr>
          <w:p>
            <w:pPr>
              <w:spacing w:after="0" w:line="183" w:lineRule="exact"/>
              <w:rPr>
                <w:rFonts w:ascii="Arial" w:cs="Arial" w:eastAsia="Arial" w:hAnsi="Arial"/>
                <w:sz w:val="16"/>
                <w:szCs w:val="16"/>
                <w:color w:val="0000FF"/>
                <w:w w:val="93"/>
              </w:rPr>
            </w:pPr>
            <w:hyperlink r:id="rId51">
              <w:r>
                <w:rPr>
                  <w:rFonts w:ascii="Arial" w:cs="Arial" w:eastAsia="Arial" w:hAnsi="Arial"/>
                  <w:sz w:val="16"/>
                  <w:szCs w:val="16"/>
                  <w:color w:val="0000FF"/>
                  <w:w w:val="93"/>
                </w:rPr>
                <w:t>on Form 8-K filed on August 7, 2019, SEC File Number 001-11993).</w:t>
              </w:r>
            </w:hyperlink>
          </w:p>
        </w:tc>
        <w:tc>
          <w:tcPr>
            <w:tcW w:w="538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ind w:left="40"/>
              <w:spacing w:after="0"/>
              <w:rPr>
                <w:sz w:val="20"/>
                <w:szCs w:val="20"/>
                <w:color w:val="auto"/>
              </w:rPr>
            </w:pPr>
            <w:r>
              <w:rPr>
                <w:rFonts w:ascii="Arial" w:cs="Arial" w:eastAsia="Arial" w:hAnsi="Arial"/>
                <w:sz w:val="16"/>
                <w:szCs w:val="16"/>
                <w:color w:val="auto"/>
              </w:rPr>
              <w:t>10.14</w:t>
            </w:r>
            <w:r>
              <w:rPr>
                <w:rFonts w:ascii="Arial" w:cs="Arial" w:eastAsia="Arial" w:hAnsi="Arial"/>
                <w:sz w:val="18"/>
                <w:szCs w:val="18"/>
                <w:color w:val="auto"/>
              </w:rPr>
              <w:t>†</w:t>
            </w:r>
          </w:p>
        </w:tc>
        <w:tc>
          <w:tcPr>
            <w:tcW w:w="9880" w:type="dxa"/>
            <w:vAlign w:val="bottom"/>
            <w:gridSpan w:val="28"/>
          </w:tcPr>
          <w:p>
            <w:pPr>
              <w:spacing w:after="0"/>
              <w:rPr>
                <w:rFonts w:ascii="Arial" w:cs="Arial" w:eastAsia="Arial" w:hAnsi="Arial"/>
                <w:sz w:val="16"/>
                <w:szCs w:val="16"/>
                <w:color w:val="0000FF"/>
                <w:w w:val="94"/>
              </w:rPr>
            </w:pPr>
            <w:hyperlink r:id="rId52">
              <w:r>
                <w:rPr>
                  <w:rFonts w:ascii="Arial" w:cs="Arial" w:eastAsia="Arial" w:hAnsi="Arial"/>
                  <w:sz w:val="16"/>
                  <w:szCs w:val="16"/>
                  <w:color w:val="0000FF"/>
                  <w:w w:val="94"/>
                </w:rPr>
                <w:t>Harriet Booker Employment Agreement entered into on June 3, 2019 (incorporated by reference to Exhibit 10.3 to the Company’s Current Report on</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30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3"/>
              </w:rPr>
            </w:pPr>
            <w:hyperlink r:id="rId52">
              <w:r>
                <w:rPr>
                  <w:rFonts w:ascii="Arial" w:cs="Arial" w:eastAsia="Arial" w:hAnsi="Arial"/>
                  <w:sz w:val="16"/>
                  <w:szCs w:val="16"/>
                  <w:color w:val="0000FF"/>
                  <w:w w:val="93"/>
                </w:rPr>
                <w:t>Form 8-K filed on August 7, 2019, SEC File Number 001-11993).</w:t>
              </w:r>
            </w:hyperlink>
          </w:p>
        </w:tc>
        <w:tc>
          <w:tcPr>
            <w:tcW w:w="5360" w:type="dxa"/>
            <w:vAlign w:val="bottom"/>
            <w:tcBorders>
              <w:top w:val="single" w:sz="8" w:color="0000FF"/>
            </w:tcBorders>
            <w:gridSpan w:val="17"/>
          </w:tcPr>
          <w:p>
            <w:pPr>
              <w:spacing w:after="0"/>
              <w:rPr>
                <w:sz w:val="15"/>
                <w:szCs w:val="15"/>
                <w:color w:val="auto"/>
              </w:rPr>
            </w:pPr>
          </w:p>
        </w:tc>
        <w:tc>
          <w:tcPr>
            <w:tcW w:w="2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20" w:type="dxa"/>
            <w:vAlign w:val="bottom"/>
          </w:tcPr>
          <w:p>
            <w:pPr>
              <w:ind w:left="40"/>
              <w:spacing w:after="0"/>
              <w:rPr>
                <w:sz w:val="20"/>
                <w:szCs w:val="20"/>
                <w:color w:val="auto"/>
              </w:rPr>
            </w:pPr>
            <w:r>
              <w:rPr>
                <w:rFonts w:ascii="Arial" w:cs="Arial" w:eastAsia="Arial" w:hAnsi="Arial"/>
                <w:sz w:val="16"/>
                <w:szCs w:val="16"/>
                <w:color w:val="auto"/>
              </w:rPr>
              <w:t>21.1</w:t>
            </w:r>
          </w:p>
        </w:tc>
        <w:tc>
          <w:tcPr>
            <w:tcW w:w="500" w:type="dxa"/>
            <w:vAlign w:val="bottom"/>
          </w:tcPr>
          <w:p>
            <w:pPr>
              <w:spacing w:after="0"/>
              <w:rPr>
                <w:sz w:val="20"/>
                <w:szCs w:val="20"/>
                <w:color w:val="auto"/>
              </w:rPr>
            </w:pPr>
          </w:p>
        </w:tc>
        <w:tc>
          <w:tcPr>
            <w:tcW w:w="9880" w:type="dxa"/>
            <w:vAlign w:val="bottom"/>
            <w:gridSpan w:val="28"/>
          </w:tcPr>
          <w:p>
            <w:pPr>
              <w:spacing w:after="0"/>
              <w:rPr>
                <w:rFonts w:ascii="Arial" w:cs="Arial" w:eastAsia="Arial" w:hAnsi="Arial"/>
                <w:sz w:val="16"/>
                <w:szCs w:val="16"/>
                <w:color w:val="0000FF"/>
              </w:rPr>
            </w:pPr>
            <w:hyperlink w:anchor="page84">
              <w:r>
                <w:rPr>
                  <w:rFonts w:ascii="Arial" w:cs="Arial" w:eastAsia="Arial" w:hAnsi="Arial"/>
                  <w:sz w:val="16"/>
                  <w:szCs w:val="16"/>
                  <w:color w:val="0000FF"/>
                </w:rPr>
                <w:t>List of subsidiaries of Option Care Health, Inc. (filed herewith).</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4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00" w:type="dxa"/>
            <w:vAlign w:val="bottom"/>
            <w:gridSpan w:val="6"/>
          </w:tcPr>
          <w:p>
            <w:pPr>
              <w:ind w:left="4100"/>
              <w:spacing w:after="0"/>
              <w:rPr>
                <w:sz w:val="20"/>
                <w:szCs w:val="20"/>
                <w:color w:val="auto"/>
              </w:rPr>
            </w:pPr>
            <w:r>
              <w:rPr>
                <w:rFonts w:ascii="Arial" w:cs="Arial" w:eastAsia="Arial" w:hAnsi="Arial"/>
                <w:sz w:val="18"/>
                <w:szCs w:val="18"/>
                <w:color w:val="auto"/>
                <w:w w:val="89"/>
              </w:rPr>
              <w:t>77</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3" w:right="25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9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547"/>
        </w:trPr>
        <w:tc>
          <w:tcPr>
            <w:tcW w:w="1020" w:type="dxa"/>
            <w:vAlign w:val="bottom"/>
            <w:tcBorders>
              <w:top w:val="single" w:sz="8" w:color="0000EE"/>
            </w:tcBorders>
          </w:tcPr>
          <w:p>
            <w:pPr>
              <w:jc w:val="right"/>
              <w:ind w:right="620"/>
              <w:spacing w:after="0"/>
              <w:rPr>
                <w:sz w:val="20"/>
                <w:szCs w:val="20"/>
                <w:color w:val="auto"/>
              </w:rPr>
            </w:pPr>
            <w:r>
              <w:rPr>
                <w:rFonts w:ascii="Arial" w:cs="Arial" w:eastAsia="Arial" w:hAnsi="Arial"/>
                <w:sz w:val="16"/>
                <w:szCs w:val="16"/>
                <w:color w:val="auto"/>
                <w:w w:val="96"/>
              </w:rPr>
              <w:t>23.1</w:t>
            </w:r>
          </w:p>
        </w:tc>
        <w:tc>
          <w:tcPr>
            <w:tcW w:w="500" w:type="dxa"/>
            <w:vAlign w:val="bottom"/>
          </w:tcPr>
          <w:p>
            <w:pPr>
              <w:spacing w:after="0"/>
              <w:rPr>
                <w:sz w:val="24"/>
                <w:szCs w:val="24"/>
                <w:color w:val="auto"/>
              </w:rPr>
            </w:pPr>
          </w:p>
        </w:tc>
        <w:tc>
          <w:tcPr>
            <w:tcW w:w="9660" w:type="dxa"/>
            <w:vAlign w:val="bottom"/>
            <w:gridSpan w:val="4"/>
          </w:tcPr>
          <w:p>
            <w:pPr>
              <w:spacing w:after="0"/>
              <w:rPr>
                <w:rFonts w:ascii="Arial" w:cs="Arial" w:eastAsia="Arial" w:hAnsi="Arial"/>
                <w:sz w:val="16"/>
                <w:szCs w:val="16"/>
                <w:color w:val="0000FF"/>
              </w:rPr>
            </w:pPr>
            <w:hyperlink w:anchor="page86">
              <w:r>
                <w:rPr>
                  <w:rFonts w:ascii="Arial" w:cs="Arial" w:eastAsia="Arial" w:hAnsi="Arial"/>
                  <w:sz w:val="16"/>
                  <w:szCs w:val="16"/>
                  <w:color w:val="0000FF"/>
                </w:rPr>
                <w:t>Consent of Independent Registered Public Accounting Firm (filed herewith).</w:t>
              </w:r>
            </w:hyperlink>
          </w:p>
        </w:tc>
      </w:tr>
      <w:tr>
        <w:trPr>
          <w:trHeight w:val="20"/>
        </w:trPr>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020" w:type="dxa"/>
            <w:vAlign w:val="bottom"/>
          </w:tcPr>
          <w:p>
            <w:pPr>
              <w:jc w:val="right"/>
              <w:ind w:right="620"/>
              <w:spacing w:after="0"/>
              <w:rPr>
                <w:sz w:val="20"/>
                <w:szCs w:val="20"/>
                <w:color w:val="auto"/>
              </w:rPr>
            </w:pPr>
            <w:r>
              <w:rPr>
                <w:rFonts w:ascii="Arial" w:cs="Arial" w:eastAsia="Arial" w:hAnsi="Arial"/>
                <w:sz w:val="16"/>
                <w:szCs w:val="16"/>
                <w:color w:val="auto"/>
                <w:w w:val="96"/>
              </w:rPr>
              <w:t>31.1</w:t>
            </w:r>
          </w:p>
        </w:tc>
        <w:tc>
          <w:tcPr>
            <w:tcW w:w="500" w:type="dxa"/>
            <w:vAlign w:val="bottom"/>
          </w:tcPr>
          <w:p>
            <w:pPr>
              <w:spacing w:after="0"/>
              <w:rPr>
                <w:sz w:val="20"/>
                <w:szCs w:val="20"/>
                <w:color w:val="auto"/>
              </w:rPr>
            </w:pPr>
          </w:p>
        </w:tc>
        <w:tc>
          <w:tcPr>
            <w:tcW w:w="962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87">
              <w:r>
                <w:rPr>
                  <w:rFonts w:ascii="Arial" w:cs="Arial" w:eastAsia="Arial" w:hAnsi="Arial"/>
                  <w:sz w:val="16"/>
                  <w:szCs w:val="16"/>
                  <w:color w:val="0000FF"/>
                  <w:w w:val="92"/>
                </w:rPr>
                <w:t>Certification of Chief Executive Officer pursuant to 18 U.S.C. Section 1350, as adopted pursuant to Section 302 of the Sarbanes-Oxley Act of 2002.</w:t>
              </w:r>
            </w:hyperlink>
          </w:p>
        </w:tc>
        <w:tc>
          <w:tcPr>
            <w:tcW w:w="40" w:type="dxa"/>
            <w:vAlign w:val="bottom"/>
          </w:tcPr>
          <w:p>
            <w:pPr>
              <w:spacing w:after="0"/>
              <w:rPr>
                <w:sz w:val="20"/>
                <w:szCs w:val="20"/>
                <w:color w:val="auto"/>
              </w:rPr>
            </w:pPr>
          </w:p>
        </w:tc>
      </w:tr>
      <w:tr>
        <w:trPr>
          <w:trHeight w:val="237"/>
        </w:trPr>
        <w:tc>
          <w:tcPr>
            <w:tcW w:w="1020" w:type="dxa"/>
            <w:vAlign w:val="bottom"/>
          </w:tcPr>
          <w:p>
            <w:pPr>
              <w:jc w:val="right"/>
              <w:ind w:right="620"/>
              <w:spacing w:after="0"/>
              <w:rPr>
                <w:sz w:val="20"/>
                <w:szCs w:val="20"/>
                <w:color w:val="auto"/>
              </w:rPr>
            </w:pPr>
            <w:r>
              <w:rPr>
                <w:rFonts w:ascii="Arial" w:cs="Arial" w:eastAsia="Arial" w:hAnsi="Arial"/>
                <w:sz w:val="16"/>
                <w:szCs w:val="16"/>
                <w:color w:val="auto"/>
                <w:w w:val="96"/>
              </w:rPr>
              <w:t>31.2</w:t>
            </w:r>
          </w:p>
        </w:tc>
        <w:tc>
          <w:tcPr>
            <w:tcW w:w="500" w:type="dxa"/>
            <w:vAlign w:val="bottom"/>
          </w:tcPr>
          <w:p>
            <w:pPr>
              <w:spacing w:after="0"/>
              <w:rPr>
                <w:sz w:val="20"/>
                <w:szCs w:val="20"/>
                <w:color w:val="auto"/>
              </w:rPr>
            </w:pPr>
          </w:p>
        </w:tc>
        <w:tc>
          <w:tcPr>
            <w:tcW w:w="958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88">
              <w:r>
                <w:rPr>
                  <w:rFonts w:ascii="Arial" w:cs="Arial" w:eastAsia="Arial" w:hAnsi="Arial"/>
                  <w:sz w:val="16"/>
                  <w:szCs w:val="16"/>
                  <w:color w:val="0000FF"/>
                  <w:w w:val="92"/>
                </w:rPr>
                <w:t>Certification of Chief Financial Officer pursuant to 18 U.S.C. Section 1350, as adopted pursuant to Section 302 of the Sarbanes-Oxley Act of 2002.</w:t>
              </w:r>
            </w:hyperlink>
          </w:p>
        </w:tc>
        <w:tc>
          <w:tcPr>
            <w:tcW w:w="80" w:type="dxa"/>
            <w:vAlign w:val="bottom"/>
            <w:gridSpan w:val="2"/>
          </w:tcPr>
          <w:p>
            <w:pPr>
              <w:spacing w:after="0"/>
              <w:rPr>
                <w:sz w:val="20"/>
                <w:szCs w:val="20"/>
                <w:color w:val="auto"/>
              </w:rPr>
            </w:pPr>
          </w:p>
        </w:tc>
      </w:tr>
      <w:tr>
        <w:trPr>
          <w:trHeight w:val="237"/>
        </w:trPr>
        <w:tc>
          <w:tcPr>
            <w:tcW w:w="1020" w:type="dxa"/>
            <w:vAlign w:val="bottom"/>
          </w:tcPr>
          <w:p>
            <w:pPr>
              <w:jc w:val="right"/>
              <w:ind w:right="620"/>
              <w:spacing w:after="0"/>
              <w:rPr>
                <w:sz w:val="20"/>
                <w:szCs w:val="20"/>
                <w:color w:val="auto"/>
              </w:rPr>
            </w:pPr>
            <w:r>
              <w:rPr>
                <w:rFonts w:ascii="Arial" w:cs="Arial" w:eastAsia="Arial" w:hAnsi="Arial"/>
                <w:sz w:val="16"/>
                <w:szCs w:val="16"/>
                <w:color w:val="auto"/>
                <w:w w:val="96"/>
              </w:rPr>
              <w:t>32.1</w:t>
            </w:r>
          </w:p>
        </w:tc>
        <w:tc>
          <w:tcPr>
            <w:tcW w:w="500" w:type="dxa"/>
            <w:vAlign w:val="bottom"/>
          </w:tcPr>
          <w:p>
            <w:pPr>
              <w:spacing w:after="0"/>
              <w:rPr>
                <w:sz w:val="20"/>
                <w:szCs w:val="20"/>
                <w:color w:val="auto"/>
              </w:rPr>
            </w:pPr>
          </w:p>
        </w:tc>
        <w:tc>
          <w:tcPr>
            <w:tcW w:w="966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89">
              <w:r>
                <w:rPr>
                  <w:rFonts w:ascii="Arial" w:cs="Arial" w:eastAsia="Arial" w:hAnsi="Arial"/>
                  <w:sz w:val="16"/>
                  <w:szCs w:val="16"/>
                  <w:color w:val="0000FF"/>
                  <w:w w:val="92"/>
                </w:rPr>
                <w:t>Certification of Chief Executive Officer pursuant to 18 U.S. C. Section 1350, as adopted pursuant to Section 906 of the Sarbanes-Oxley Act of 2002.</w:t>
              </w:r>
            </w:hyperlink>
          </w:p>
        </w:tc>
      </w:tr>
      <w:tr>
        <w:trPr>
          <w:trHeight w:val="237"/>
        </w:trPr>
        <w:tc>
          <w:tcPr>
            <w:tcW w:w="1020" w:type="dxa"/>
            <w:vAlign w:val="bottom"/>
          </w:tcPr>
          <w:p>
            <w:pPr>
              <w:jc w:val="right"/>
              <w:ind w:right="620"/>
              <w:spacing w:after="0"/>
              <w:rPr>
                <w:sz w:val="20"/>
                <w:szCs w:val="20"/>
                <w:color w:val="auto"/>
              </w:rPr>
            </w:pPr>
            <w:r>
              <w:rPr>
                <w:rFonts w:ascii="Arial" w:cs="Arial" w:eastAsia="Arial" w:hAnsi="Arial"/>
                <w:sz w:val="16"/>
                <w:szCs w:val="16"/>
                <w:color w:val="auto"/>
                <w:w w:val="96"/>
              </w:rPr>
              <w:t>32.2</w:t>
            </w:r>
          </w:p>
        </w:tc>
        <w:tc>
          <w:tcPr>
            <w:tcW w:w="500" w:type="dxa"/>
            <w:vAlign w:val="bottom"/>
          </w:tcPr>
          <w:p>
            <w:pPr>
              <w:spacing w:after="0"/>
              <w:rPr>
                <w:sz w:val="20"/>
                <w:szCs w:val="20"/>
                <w:color w:val="auto"/>
              </w:rPr>
            </w:pPr>
          </w:p>
        </w:tc>
        <w:tc>
          <w:tcPr>
            <w:tcW w:w="962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90">
              <w:r>
                <w:rPr>
                  <w:rFonts w:ascii="Arial" w:cs="Arial" w:eastAsia="Arial" w:hAnsi="Arial"/>
                  <w:sz w:val="16"/>
                  <w:szCs w:val="16"/>
                  <w:color w:val="0000FF"/>
                  <w:w w:val="92"/>
                </w:rPr>
                <w:t>Certification of Chief Financial Officer pursuant to 18 U.S. C. Section 1350, as adopted pursuant to Section 906 of the Sarbanes-Oxley Act of 2002.</w:t>
              </w:r>
            </w:hyperlink>
          </w:p>
        </w:tc>
        <w:tc>
          <w:tcPr>
            <w:tcW w:w="40" w:type="dxa"/>
            <w:vAlign w:val="bottom"/>
          </w:tcPr>
          <w:p>
            <w:pPr>
              <w:spacing w:after="0"/>
              <w:rPr>
                <w:sz w:val="20"/>
                <w:szCs w:val="20"/>
                <w:color w:val="auto"/>
              </w:rPr>
            </w:pPr>
          </w:p>
        </w:tc>
      </w:tr>
    </w:tbl>
    <w:p>
      <w:pPr>
        <w:spacing w:after="0" w:line="71" w:lineRule="exact"/>
        <w:rPr>
          <w:sz w:val="20"/>
          <w:szCs w:val="20"/>
          <w:color w:val="auto"/>
        </w:rPr>
      </w:pPr>
    </w:p>
    <w:p>
      <w:pPr>
        <w:jc w:val="both"/>
        <w:ind w:left="1520" w:hanging="1485"/>
        <w:spacing w:after="0" w:line="271" w:lineRule="auto"/>
        <w:tabs>
          <w:tab w:leader="none" w:pos="1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Form 10-K for the fiscal year ended December 31, 2019, formatted in XBRL (Extensible Business Reporting Language): (i) Consolidated Statements of Comprehensive Income (Loss) for the fiscal years ended December 31, 2019, 2018 and 2017, (ii) Consolidated Balance Sheets as of December 31, 2019 and 2018, (iii) Consolidated Statements of Stockholders’ Equity for the fiscal years ended December 31, 2019, 2018 and 2017, (iv) Consolidated Statements of Cash Flows for the fiscal years ended December 31, 2019, 2018 and 2017, and (v) Notes to Consolidated Financial Statements.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 w:type="dxa"/>
            <w:vAlign w:val="bottom"/>
          </w:tcPr>
          <w:p>
            <w:pPr>
              <w:ind w:left="40"/>
              <w:spacing w:after="0"/>
              <w:rPr>
                <w:sz w:val="20"/>
                <w:szCs w:val="20"/>
                <w:color w:val="auto"/>
              </w:rPr>
            </w:pPr>
            <w:r>
              <w:rPr>
                <w:rFonts w:ascii="Arial" w:cs="Arial" w:eastAsia="Arial" w:hAnsi="Arial"/>
                <w:sz w:val="16"/>
                <w:szCs w:val="16"/>
                <w:color w:val="auto"/>
              </w:rPr>
              <w:t>101.INS</w:t>
            </w:r>
          </w:p>
        </w:tc>
        <w:tc>
          <w:tcPr>
            <w:tcW w:w="10640" w:type="dxa"/>
            <w:vAlign w:val="bottom"/>
          </w:tcPr>
          <w:p>
            <w:pPr>
              <w:ind w:left="780"/>
              <w:spacing w:after="0"/>
              <w:rPr>
                <w:sz w:val="20"/>
                <w:szCs w:val="20"/>
                <w:color w:val="auto"/>
              </w:rPr>
            </w:pPr>
            <w:r>
              <w:rPr>
                <w:rFonts w:ascii="Arial" w:cs="Arial" w:eastAsia="Arial" w:hAnsi="Arial"/>
                <w:sz w:val="16"/>
                <w:szCs w:val="16"/>
                <w:color w:val="auto"/>
              </w:rPr>
              <w:t>XBRL Instance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101.SCH</w:t>
            </w:r>
          </w:p>
        </w:tc>
        <w:tc>
          <w:tcPr>
            <w:tcW w:w="10640" w:type="dxa"/>
            <w:vAlign w:val="bottom"/>
          </w:tcPr>
          <w:p>
            <w:pPr>
              <w:ind w:left="78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101.CAL</w:t>
            </w:r>
          </w:p>
        </w:tc>
        <w:tc>
          <w:tcPr>
            <w:tcW w:w="10640" w:type="dxa"/>
            <w:vAlign w:val="bottom"/>
          </w:tcPr>
          <w:p>
            <w:pPr>
              <w:ind w:left="7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101.DEF</w:t>
            </w:r>
          </w:p>
        </w:tc>
        <w:tc>
          <w:tcPr>
            <w:tcW w:w="10640" w:type="dxa"/>
            <w:vAlign w:val="bottom"/>
          </w:tcPr>
          <w:p>
            <w:pPr>
              <w:ind w:left="78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101.LAB</w:t>
            </w:r>
          </w:p>
        </w:tc>
        <w:tc>
          <w:tcPr>
            <w:tcW w:w="10640" w:type="dxa"/>
            <w:vAlign w:val="bottom"/>
          </w:tcPr>
          <w:p>
            <w:pPr>
              <w:ind w:left="780"/>
              <w:spacing w:after="0"/>
              <w:rPr>
                <w:sz w:val="20"/>
                <w:szCs w:val="20"/>
                <w:color w:val="auto"/>
              </w:rPr>
            </w:pPr>
            <w:r>
              <w:rPr>
                <w:rFonts w:ascii="Arial" w:cs="Arial" w:eastAsia="Arial" w:hAnsi="Arial"/>
                <w:sz w:val="16"/>
                <w:szCs w:val="16"/>
                <w:color w:val="auto"/>
              </w:rPr>
              <w:t>XBRL Taxonomy Extension Labels Linkbase Document</w:t>
            </w:r>
          </w:p>
        </w:tc>
      </w:tr>
      <w:tr>
        <w:trPr>
          <w:trHeight w:val="257"/>
        </w:trPr>
        <w:tc>
          <w:tcPr>
            <w:tcW w:w="740" w:type="dxa"/>
            <w:vAlign w:val="bottom"/>
          </w:tcPr>
          <w:p>
            <w:pPr>
              <w:ind w:left="40"/>
              <w:spacing w:after="0"/>
              <w:rPr>
                <w:sz w:val="20"/>
                <w:szCs w:val="20"/>
                <w:color w:val="auto"/>
              </w:rPr>
            </w:pPr>
            <w:r>
              <w:rPr>
                <w:rFonts w:ascii="Arial" w:cs="Arial" w:eastAsia="Arial" w:hAnsi="Arial"/>
                <w:sz w:val="16"/>
                <w:szCs w:val="16"/>
                <w:color w:val="auto"/>
              </w:rPr>
              <w:t>101.PRE</w:t>
            </w:r>
          </w:p>
        </w:tc>
        <w:tc>
          <w:tcPr>
            <w:tcW w:w="10640" w:type="dxa"/>
            <w:vAlign w:val="bottom"/>
          </w:tcPr>
          <w:p>
            <w:pPr>
              <w:ind w:left="78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11"/>
        </w:trPr>
        <w:tc>
          <w:tcPr>
            <w:tcW w:w="740" w:type="dxa"/>
            <w:vAlign w:val="bottom"/>
          </w:tcPr>
          <w:p>
            <w:pPr>
              <w:ind w:left="40"/>
              <w:spacing w:after="0"/>
              <w:rPr>
                <w:sz w:val="20"/>
                <w:szCs w:val="20"/>
                <w:color w:val="auto"/>
              </w:rPr>
            </w:pPr>
            <w:r>
              <w:rPr>
                <w:rFonts w:ascii="Arial" w:cs="Arial" w:eastAsia="Arial" w:hAnsi="Arial"/>
                <w:sz w:val="18"/>
                <w:szCs w:val="18"/>
                <w:color w:val="auto"/>
              </w:rPr>
              <w:t>†</w:t>
            </w:r>
          </w:p>
        </w:tc>
        <w:tc>
          <w:tcPr>
            <w:tcW w:w="10640" w:type="dxa"/>
            <w:vAlign w:val="bottom"/>
          </w:tcPr>
          <w:p>
            <w:pPr>
              <w:ind w:left="680"/>
              <w:spacing w:after="0"/>
              <w:rPr>
                <w:sz w:val="20"/>
                <w:szCs w:val="20"/>
                <w:color w:val="auto"/>
              </w:rPr>
            </w:pPr>
            <w:r>
              <w:rPr>
                <w:rFonts w:ascii="Arial" w:cs="Arial" w:eastAsia="Arial" w:hAnsi="Arial"/>
                <w:sz w:val="16"/>
                <w:szCs w:val="16"/>
                <w:color w:val="auto"/>
              </w:rPr>
              <w:t>Designates the Company’s management contracts or compensatory plan or arrangement.</w:t>
            </w:r>
          </w:p>
        </w:tc>
      </w:tr>
      <w:tr>
        <w:trPr>
          <w:trHeight w:val="247"/>
        </w:trPr>
        <w:tc>
          <w:tcPr>
            <w:tcW w:w="740" w:type="dxa"/>
            <w:vAlign w:val="bottom"/>
          </w:tcPr>
          <w:p>
            <w:pPr>
              <w:ind w:left="40"/>
              <w:spacing w:after="0"/>
              <w:rPr>
                <w:sz w:val="20"/>
                <w:szCs w:val="20"/>
                <w:color w:val="auto"/>
              </w:rPr>
            </w:pPr>
            <w:r>
              <w:rPr>
                <w:rFonts w:ascii="Arial" w:cs="Arial" w:eastAsia="Arial" w:hAnsi="Arial"/>
                <w:sz w:val="16"/>
                <w:szCs w:val="16"/>
                <w:color w:val="auto"/>
              </w:rPr>
              <w:t>+</w:t>
            </w:r>
          </w:p>
        </w:tc>
        <w:tc>
          <w:tcPr>
            <w:tcW w:w="10640" w:type="dxa"/>
            <w:vAlign w:val="bottom"/>
          </w:tcPr>
          <w:p>
            <w:pPr>
              <w:ind w:left="680"/>
              <w:spacing w:after="0"/>
              <w:rPr>
                <w:sz w:val="20"/>
                <w:szCs w:val="20"/>
                <w:color w:val="auto"/>
              </w:rPr>
            </w:pPr>
            <w:r>
              <w:rPr>
                <w:rFonts w:ascii="Arial" w:cs="Arial" w:eastAsia="Arial" w:hAnsi="Arial"/>
                <w:sz w:val="16"/>
                <w:szCs w:val="16"/>
                <w:color w:val="auto"/>
                <w:w w:val="94"/>
              </w:rPr>
              <w:t>Certain schedules attached to the Agreement and Plan of Merger have been omitted pursuant to Item 601(b)(2) of Regulation S-K. The Company will</w:t>
            </w:r>
          </w:p>
        </w:tc>
      </w:tr>
      <w:tr>
        <w:trPr>
          <w:trHeight w:val="206"/>
        </w:trPr>
        <w:tc>
          <w:tcPr>
            <w:tcW w:w="740" w:type="dxa"/>
            <w:vAlign w:val="bottom"/>
          </w:tcPr>
          <w:p>
            <w:pPr>
              <w:spacing w:after="0"/>
              <w:rPr>
                <w:sz w:val="17"/>
                <w:szCs w:val="17"/>
                <w:color w:val="auto"/>
              </w:rPr>
            </w:pPr>
          </w:p>
        </w:tc>
        <w:tc>
          <w:tcPr>
            <w:tcW w:w="10640" w:type="dxa"/>
            <w:vAlign w:val="bottom"/>
          </w:tcPr>
          <w:p>
            <w:pPr>
              <w:ind w:left="680"/>
              <w:spacing w:after="0"/>
              <w:rPr>
                <w:sz w:val="20"/>
                <w:szCs w:val="20"/>
                <w:color w:val="auto"/>
              </w:rPr>
            </w:pPr>
            <w:r>
              <w:rPr>
                <w:rFonts w:ascii="Arial" w:cs="Arial" w:eastAsia="Arial" w:hAnsi="Arial"/>
                <w:sz w:val="16"/>
                <w:szCs w:val="16"/>
                <w:color w:val="auto"/>
              </w:rPr>
              <w:t>furnish copies of the omitted schedules to the Securities and Exchange Commission upon request by the Commission.</w:t>
            </w:r>
          </w:p>
        </w:tc>
      </w:tr>
      <w:tr>
        <w:trPr>
          <w:trHeight w:val="465"/>
        </w:trPr>
        <w:tc>
          <w:tcPr>
            <w:tcW w:w="74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6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Form 10-K Summary</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March 5, 2020.</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OPTION CARE HEALTH, INC.</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 Michael Shapiro</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Shapiro</w:t>
      </w:r>
    </w:p>
    <w:p>
      <w:pPr>
        <w:spacing w:after="0" w:line="212"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Chief Financial Officer and Senior Vice President (Principal Financial Officer and Duly Authorized Officer)</w:t>
      </w:r>
    </w:p>
    <w:p>
      <w:pPr>
        <w:spacing w:after="0" w:line="27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14" w:right="2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3480" w:type="dxa"/>
            <w:vAlign w:val="bottom"/>
            <w:gridSpan w:val="1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61"/>
        </w:trPr>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gridSpan w:val="8"/>
          </w:tcPr>
          <w:p>
            <w:pPr>
              <w:spacing w:after="0"/>
              <w:rPr>
                <w:sz w:val="20"/>
                <w:szCs w:val="20"/>
                <w:color w:val="auto"/>
              </w:rPr>
            </w:pPr>
            <w:r>
              <w:rPr>
                <w:rFonts w:ascii="Arial" w:cs="Arial" w:eastAsia="Arial" w:hAnsi="Arial"/>
                <w:sz w:val="18"/>
                <w:szCs w:val="18"/>
                <w:b w:val="1"/>
                <w:bCs w:val="1"/>
                <w:color w:val="auto"/>
              </w:rPr>
              <w:t>Signature</w:t>
            </w:r>
          </w:p>
        </w:tc>
        <w:tc>
          <w:tcPr>
            <w:tcW w:w="604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1"/>
              </w:rPr>
              <w:t>Title(s)</w:t>
            </w:r>
          </w:p>
        </w:tc>
        <w:tc>
          <w:tcPr>
            <w:tcW w:w="860" w:type="dxa"/>
            <w:vAlign w:val="bottom"/>
          </w:tcPr>
          <w:p>
            <w:pPr>
              <w:spacing w:after="0"/>
              <w:rPr>
                <w:sz w:val="24"/>
                <w:szCs w:val="24"/>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/s/ John C. Rademacher</w:t>
            </w:r>
          </w:p>
        </w:tc>
        <w:tc>
          <w:tcPr>
            <w:tcW w:w="604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Chief Executive Officer, President and 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John C. Rademacher</w:t>
            </w:r>
          </w:p>
        </w:tc>
        <w:tc>
          <w:tcPr>
            <w:tcW w:w="604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(Principal Executive Officer)</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/s/ Michael Shapiro</w:t>
            </w:r>
          </w:p>
        </w:tc>
        <w:tc>
          <w:tcPr>
            <w:tcW w:w="604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Chief Financial Officer and Senior Vice President</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Michael Shapiro</w:t>
            </w:r>
          </w:p>
        </w:tc>
        <w:tc>
          <w:tcPr>
            <w:tcW w:w="6040" w:type="dxa"/>
            <w:vAlign w:val="bottom"/>
            <w:gridSpan w:val="3"/>
          </w:tcPr>
          <w:p>
            <w:pPr>
              <w:jc w:val="center"/>
              <w:ind w:left="570"/>
              <w:spacing w:after="0"/>
              <w:rPr>
                <w:sz w:val="20"/>
                <w:szCs w:val="20"/>
                <w:color w:val="auto"/>
              </w:rPr>
            </w:pPr>
            <w:r>
              <w:rPr>
                <w:rFonts w:ascii="Arial" w:cs="Arial" w:eastAsia="Arial" w:hAnsi="Arial"/>
                <w:sz w:val="18"/>
                <w:szCs w:val="18"/>
                <w:color w:val="auto"/>
                <w:w w:val="95"/>
              </w:rPr>
              <w:t>(Principal Financial Officer)</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170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0"/>
              </w:rPr>
              <w:t>/s/ Robert R. Kampstra</w:t>
            </w:r>
          </w:p>
        </w:tc>
        <w:tc>
          <w:tcPr>
            <w:tcW w:w="1740" w:type="dxa"/>
            <w:vAlign w:val="bottom"/>
            <w:gridSpan w:val="3"/>
          </w:tcPr>
          <w:p>
            <w:pPr>
              <w:spacing w:after="0"/>
              <w:rPr>
                <w:sz w:val="24"/>
                <w:szCs w:val="24"/>
                <w:color w:val="auto"/>
              </w:rPr>
            </w:pPr>
          </w:p>
        </w:tc>
        <w:tc>
          <w:tcPr>
            <w:tcW w:w="604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Senior Vice President, Finance and Chief Accounting Officer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Robert R. Kampstra</w:t>
            </w:r>
          </w:p>
        </w:tc>
        <w:tc>
          <w:tcPr>
            <w:tcW w:w="604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(Principal Accounting Officer)</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/s/ Harry M. Jansen Kraemer, Jr.</w:t>
            </w:r>
          </w:p>
        </w:tc>
        <w:tc>
          <w:tcPr>
            <w:tcW w:w="604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Non-Executive Chairman of the Board</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232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w w:val="97"/>
              </w:rPr>
              <w:t>Harry M. Jansen Kraemer, Jr.</w:t>
            </w:r>
          </w:p>
        </w:tc>
        <w:tc>
          <w:tcPr>
            <w:tcW w:w="11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/s/ John J. Arlotta</w:t>
            </w:r>
          </w:p>
        </w:tc>
        <w:tc>
          <w:tcPr>
            <w:tcW w:w="604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12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John J. Arlotta</w:t>
            </w:r>
          </w:p>
        </w:tc>
        <w:tc>
          <w:tcPr>
            <w:tcW w:w="2180" w:type="dxa"/>
            <w:vAlign w:val="bottom"/>
            <w:gridSpan w:val="9"/>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/s/ Elizabeth Q. Betten</w:t>
            </w:r>
          </w:p>
        </w:tc>
        <w:tc>
          <w:tcPr>
            <w:tcW w:w="604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162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Elizabeth Q. Betten</w:t>
            </w:r>
          </w:p>
        </w:tc>
        <w:tc>
          <w:tcPr>
            <w:tcW w:w="1820" w:type="dxa"/>
            <w:vAlign w:val="bottom"/>
            <w:gridSpan w:val="5"/>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/s/ David W. Golding</w:t>
            </w:r>
          </w:p>
        </w:tc>
        <w:tc>
          <w:tcPr>
            <w:tcW w:w="604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15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David W. Golding</w:t>
            </w:r>
          </w:p>
        </w:tc>
        <w:tc>
          <w:tcPr>
            <w:tcW w:w="1920" w:type="dxa"/>
            <w:vAlign w:val="bottom"/>
            <w:gridSpan w:val="6"/>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 Alan Nielsen</w:t>
            </w:r>
          </w:p>
        </w:tc>
        <w:tc>
          <w:tcPr>
            <w:tcW w:w="2280" w:type="dxa"/>
            <w:vAlign w:val="bottom"/>
            <w:gridSpan w:val="11"/>
          </w:tcPr>
          <w:p>
            <w:pPr>
              <w:spacing w:after="0"/>
              <w:rPr>
                <w:sz w:val="24"/>
                <w:szCs w:val="24"/>
                <w:color w:val="auto"/>
              </w:rPr>
            </w:pPr>
          </w:p>
        </w:tc>
        <w:tc>
          <w:tcPr>
            <w:tcW w:w="604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Alan Nielsen</w:t>
            </w: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/s/ R. Carter Pate</w:t>
            </w:r>
          </w:p>
        </w:tc>
        <w:tc>
          <w:tcPr>
            <w:tcW w:w="604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12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 Carter Pate</w:t>
            </w:r>
          </w:p>
        </w:tc>
        <w:tc>
          <w:tcPr>
            <w:tcW w:w="2220" w:type="dxa"/>
            <w:vAlign w:val="bottom"/>
            <w:gridSpan w:val="10"/>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1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/s/ Nitin Sahney</w:t>
            </w:r>
          </w:p>
        </w:tc>
        <w:tc>
          <w:tcPr>
            <w:tcW w:w="2280" w:type="dxa"/>
            <w:vAlign w:val="bottom"/>
            <w:gridSpan w:val="11"/>
          </w:tcPr>
          <w:p>
            <w:pPr>
              <w:spacing w:after="0"/>
              <w:rPr>
                <w:sz w:val="24"/>
                <w:szCs w:val="24"/>
                <w:color w:val="auto"/>
              </w:rPr>
            </w:pPr>
          </w:p>
        </w:tc>
        <w:tc>
          <w:tcPr>
            <w:tcW w:w="604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Nitin Sahney</w:t>
            </w: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00"/>
        </w:trPr>
        <w:tc>
          <w:tcPr>
            <w:tcW w:w="40" w:type="dxa"/>
            <w:vAlign w:val="bottom"/>
          </w:tcPr>
          <w:p>
            <w:pPr>
              <w:spacing w:after="0"/>
              <w:rPr>
                <w:sz w:val="24"/>
                <w:szCs w:val="24"/>
                <w:color w:val="auto"/>
              </w:rPr>
            </w:pPr>
          </w:p>
        </w:tc>
        <w:tc>
          <w:tcPr>
            <w:tcW w:w="16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/s/ Timothy P. Sullivan</w:t>
            </w:r>
          </w:p>
        </w:tc>
        <w:tc>
          <w:tcPr>
            <w:tcW w:w="1800" w:type="dxa"/>
            <w:vAlign w:val="bottom"/>
            <w:gridSpan w:val="4"/>
          </w:tcPr>
          <w:p>
            <w:pPr>
              <w:spacing w:after="0"/>
              <w:rPr>
                <w:sz w:val="24"/>
                <w:szCs w:val="24"/>
                <w:color w:val="auto"/>
              </w:rPr>
            </w:pPr>
          </w:p>
        </w:tc>
        <w:tc>
          <w:tcPr>
            <w:tcW w:w="604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Timothy P. Sullivan</w:t>
            </w: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3440" w:type="dxa"/>
            <w:vAlign w:val="bottom"/>
            <w:gridSpan w:val="15"/>
          </w:tcPr>
          <w:p>
            <w:pPr>
              <w:spacing w:after="0"/>
              <w:rPr>
                <w:sz w:val="20"/>
                <w:szCs w:val="20"/>
                <w:color w:val="auto"/>
              </w:rPr>
            </w:pPr>
            <w:r>
              <w:rPr>
                <w:rFonts w:ascii="Arial" w:cs="Arial" w:eastAsia="Arial" w:hAnsi="Arial"/>
                <w:sz w:val="18"/>
                <w:szCs w:val="18"/>
                <w:color w:val="auto"/>
              </w:rPr>
              <w:t>/s/ Mark Vainisi</w:t>
            </w:r>
          </w:p>
        </w:tc>
        <w:tc>
          <w:tcPr>
            <w:tcW w:w="6040" w:type="dxa"/>
            <w:vAlign w:val="bottom"/>
            <w:gridSpan w:val="3"/>
          </w:tcPr>
          <w:p>
            <w:pPr>
              <w:jc w:val="center"/>
              <w:ind w:left="510"/>
              <w:spacing w:after="0"/>
              <w:rPr>
                <w:sz w:val="20"/>
                <w:szCs w:val="20"/>
                <w:color w:val="auto"/>
              </w:rPr>
            </w:pPr>
            <w:r>
              <w:rPr>
                <w:rFonts w:ascii="Arial" w:cs="Arial" w:eastAsia="Arial" w:hAnsi="Arial"/>
                <w:sz w:val="18"/>
                <w:szCs w:val="18"/>
                <w:color w:val="auto"/>
                <w:w w:val="95"/>
              </w:rPr>
              <w:t>Director</w:t>
            </w:r>
          </w:p>
        </w:tc>
        <w:tc>
          <w:tcPr>
            <w:tcW w:w="158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5, 2020</w:t>
            </w:r>
          </w:p>
        </w:tc>
      </w:tr>
      <w:tr>
        <w:trPr>
          <w:trHeight w:val="237"/>
        </w:trPr>
        <w:tc>
          <w:tcPr>
            <w:tcW w:w="40" w:type="dxa"/>
            <w:vAlign w:val="bottom"/>
          </w:tcPr>
          <w:p>
            <w:pPr>
              <w:spacing w:after="0"/>
              <w:rPr>
                <w:sz w:val="20"/>
                <w:szCs w:val="20"/>
                <w:color w:val="auto"/>
              </w:rPr>
            </w:pPr>
          </w:p>
        </w:tc>
        <w:tc>
          <w:tcPr>
            <w:tcW w:w="1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Mark Vainisi</w:t>
            </w:r>
          </w:p>
        </w:tc>
        <w:tc>
          <w:tcPr>
            <w:tcW w:w="2300" w:type="dxa"/>
            <w:vAlign w:val="bottom"/>
            <w:gridSpan w:val="12"/>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675"/>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60" w:type="dxa"/>
            <w:vAlign w:val="bottom"/>
          </w:tcPr>
          <w:p>
            <w:pPr>
              <w:jc w:val="right"/>
              <w:ind w:right="650"/>
              <w:spacing w:after="0"/>
              <w:rPr>
                <w:sz w:val="20"/>
                <w:szCs w:val="20"/>
                <w:color w:val="auto"/>
              </w:rPr>
            </w:pPr>
            <w:r>
              <w:rPr>
                <w:rFonts w:ascii="Arial" w:cs="Arial" w:eastAsia="Arial" w:hAnsi="Arial"/>
                <w:sz w:val="18"/>
                <w:szCs w:val="18"/>
                <w:color w:val="auto"/>
              </w:rPr>
              <w:t>79</w:t>
            </w:r>
          </w:p>
        </w:tc>
        <w:tc>
          <w:tcPr>
            <w:tcW w:w="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100"/>
          </w:cols>
          <w:pgMar w:left="240" w:top="113" w:right="559" w:bottom="1440" w:gutter="0" w:footer="0" w:header="0"/>
        </w:sectPr>
      </w:pPr>
    </w:p>
    <w:bookmarkStart w:id="79" w:name="page80"/>
    <w:bookmarkEnd w:id="79"/>
    <w:p>
      <w:pPr>
        <w:ind w:left="10360"/>
        <w:spacing w:after="0"/>
        <w:rPr>
          <w:sz w:val="20"/>
          <w:szCs w:val="20"/>
          <w:color w:val="auto"/>
        </w:rPr>
      </w:pPr>
      <w:r>
        <w:rPr>
          <w:rFonts w:ascii="Arial" w:cs="Arial" w:eastAsia="Arial" w:hAnsi="Arial"/>
          <w:sz w:val="16"/>
          <w:szCs w:val="16"/>
          <w:b w:val="1"/>
          <w:bCs w:val="1"/>
          <w:color w:val="auto"/>
        </w:rPr>
        <w:t>EXHIBIT 4.12</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brief description of the capital stock of Option Care Health, Inc., a Delaware corporation (the “Company,” “we,” “us,” or “our”). The brief description is based on our Third Restated Certificate of Incorporation (our “charter”), amended and restated bylaws (our “bylaws”), and provisions of applicable law. The following description does not purport to be complete and is subject to, and qualified in its entirety by, the full text of our charter and our bylaws, which we have previously filed with the SEC and are incorporated by reference herein.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authorized capital stock consists of 250,000,000 shares of common stock, par value $0.0001 per share (“common stock”), and 12,500,000 shares of preferred stock, par value $0.0001 per share (“preferred stock”). As of March 3, 2020, an aggregate of 177,087,704 shares of common stock were issued, of which an aggregate of 176,703,983 shares were outstanding. No shares of preferred stock were issued and outstanding as of March 3,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Each share of common stock entitles the holder thereof of one vote for each share held by such holder on all matters voted on by stockholders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otherwise required by law, holders of common stock are not entitled to vote on any amendment to our charter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General Corporation Law of the State of Delaware (the “DGCL”).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required by law or expressly provided in the Company’s charter, each share of common stock has the same powers, rights and privileges and rank equally, share ratably and be identical in all respects as to all matters.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Subject to the rights of the holders of preferred stock and to the other provisions of applicable law and the Company’s charter, holders of common stock will be entitled to receive equally, on a per share basis, such dividends and other distributions in cash, securities or other property of the Company if, as and when declared thereon by the Company’s Board of Directors (the “Board”) from time to time out of assets or funds of the Company legally available therefor.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Subject to the rights of holders of preferred stock, in the event of any liquidation, dissolution or winding up of the affairs of the Company, whether voluntary or involuntary, after payment or provision for payment of the Company’s debts and any other payments required by law and amounts payable upon shares of preferred stock ranking senior to the shares of common stock upon such dissolution, liquidation or winding up, if any, the remaining net assets of the Company will be distributed to the holders of shares of common stock and the holders of shares of any other class or series ranking equally with the shares of common stock upon such dissolution, liquidation or winding up, equally on a per share basis.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not entitled to preemptive rights, conversion or other rights to subscribe for additional securities and there are no redemption or sinking fund provisions applicable to our common stock.</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Board is authorized, subject to limitations prescribed by law, to provide, by resolution or resolutions for the issuance of shares of preferred stock in one or more series, and with respect to each series, to establish the number of shares to be included in each such series, and to fix the voting powers (if any), designations, powers, preferences, and relative, participating, optional or other special rights, if any, of the shares of each such series, and any qualifications, limitations or restrictions thereof. The powers (including voting powers), preferences, and relative, participating, optional and other special rights of each series of preferred stock and the qualifications, limitations or restrictions thereof, if any, may differ from those of any and all other series at any time outstanding. Subject to the rights of the holders of any series of preferred stock, the number of authorized shares of preferred stock may be increased or decreased (but not below the number of shares thereof then outstanding) by the approval of the Board and by the affirmative vote of the holders of a majority in voting power of the outstanding shares of capital stock of the</w:t>
      </w:r>
    </w:p>
    <w:p>
      <w:pPr>
        <w:sectPr>
          <w:pgSz w:w="11900" w:h="16838" w:orient="portrait"/>
          <w:cols w:equalWidth="0" w:num="1">
            <w:col w:w="11420"/>
          </w:cols>
          <w:pgMar w:left="240" w:top="558" w:right="2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Company entitled to vote generally in an election of directors, without the separate vote of the holders of the preferred stock as a class, irrespective of the provisions of Section 242(b)(2) of the DGCL.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issue additional shares of common stock or preferred stock without stockholder approval, subject to applicable rules of the The Nasdaq Stock Market LLC and Delaware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PROVISIONS OF OUR CHARTER AND BYLAWS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brief description of the provisions in our charter and bylaws that could have an effect of delaying, deferring, or preventing a change in control of the Company.</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Nominations, Vacancies and Removal</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Subject to the rights of the holders of any series of preferred stock then outstanding and except as otherwise set forth in that certain Director Nomination Agreement between the Company and HC Group Holdings I, LLC (“HC Group”), as described below, newly created directorships resulting from any increase in the authorized number of directors or any vacancies in the Board resulting from death, resignation, disqualification, removal from office or any other cause may be filled only by resolution of a majority of the directors then in office, although less than a quorum, or by a sole remaining director, and may not be filled in any other manner. The Company and HC Group entered into a Director Nomination Agreement on August 6, 2019 (the “Director Nomination Agreement”).</w:t>
      </w:r>
    </w:p>
    <w:p>
      <w:pPr>
        <w:spacing w:after="0" w:line="8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Director Nomination Agreement provides that, from and after the closing of the Mergers (as defined therein) until the date that HC Group and its affiliates cease to beneficially own common stock representing at least 10% of the voting power of the then-outstanding common stock, HC Group is entitled to nominate for election to the Board or any committee of the Board, a number of directors equal to the product obtained by multiplying (a) the percentage of the total voting power of the then-outstanding common stock then beneficially owned by HC Group and its affiliates and (b) the authorized number of directors on the Board, including any vacancies, with such product rounded up to the nearest whole number in all cases. The Director Nomination Agreement also provides HC Group with the right to fill any vacancies created by the removal, death, disability, disqualification or resignation from the Board of any of its nominees that is elected to the Board. In the Director Nomination Agreement, the Company agrees to use its reasonable best efforts to ensure that any nominees designated by HC Group in accordance with the Director Nomination Agreement are included in the Board’s slate of nominees to the stockholders for each election of directors and that each nominee designated by HC Group is included in the proxy statement prepared by management of the Company in connection with soliciting proxies for every meeting of the stockholders at which directors are voted on for election.</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Director Nomination Agreement automatically terminates on the date on which HC Group and its affiliates cease to beneficially own at least 10% of the total voting power of the then outstanding common stock.</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Subject to the rights of the holders of any series of preferred stock then outstanding and notwithstanding any other provision of the Company’s charter, on and after the first date (the “Trigger Date”) on which HC Group and its Affiliated Companies (as defined below) cease to beneficially own (directly or indirectly) 50% or more of the voting power of the then outstanding shares of capital stock of the Company then entitled to vote generally in the election of directors (“Voting Stock”), directors may be removed with or without cause upon the affirmative vote of stockholders representing at least sixty-six and two-thirds percent (66⅔%) of the voting power of the then outstanding shares of Voting Stock, at a meeting of the Company’s stockholders called for that purpose. “Affiliated Companies” in our charter means (a) Madison Dearborn Partners, LLC, Madison Dearborn Partners VI-A&amp;C, L.P., Madison Dearborn Partners VI-B, L.P. and MDP Global Investors Limited (collectively, the “</w:t>
      </w:r>
      <w:r>
        <w:rPr>
          <w:rFonts w:ascii="Arial" w:cs="Arial" w:eastAsia="Arial" w:hAnsi="Arial"/>
          <w:sz w:val="16"/>
          <w:szCs w:val="16"/>
          <w:u w:val="single" w:color="auto"/>
          <w:color w:val="auto"/>
        </w:rPr>
        <w:t>MDP Group</w:t>
      </w:r>
      <w:r>
        <w:rPr>
          <w:rFonts w:ascii="Arial" w:cs="Arial" w:eastAsia="Arial" w:hAnsi="Arial"/>
          <w:sz w:val="16"/>
          <w:szCs w:val="16"/>
          <w:color w:val="auto"/>
        </w:rPr>
        <w:t>”), (b) Walgreens Company, (c) any entity that controls, is controlled by or under common control with HC Group, the MDP Group or Walgreens Company (other than the Company and any company that is controlled by the Company) and any investment funds managed by the MDP Group and (d) in respect of the Company, any company controlled by the Company.</w:t>
      </w:r>
    </w:p>
    <w:p>
      <w:pPr>
        <w:spacing w:after="0" w:line="5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charter provides that whenever the holders of one or more series of preferred stock has the right, voting separately or together with the holders of one or more other series, to elect directors at an annual or special meeting of stockholders, the election, term of office, filling of vacancies and newly created directorships and other features of such directorship will be subject to the rights of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will automatically be increased by such specified number of directors, and the holders of such preferred stock will be entitled to elect the additional directors so provided for or fixed pursuant to said provisions, and (ii) each such additional director will serve until such director’s successor has been duly elected and qualified, or until such director’s right to hold such office terminates pursuant to said provisions, whichever occurs earlier, subject to his or her earlier death, resignation, disqualification or removal.</w:t>
      </w:r>
    </w:p>
    <w:p>
      <w:pPr>
        <w:sectPr>
          <w:pgSz w:w="11900" w:h="16838" w:orient="portrait"/>
          <w:cols w:equalWidth="0" w:num="1">
            <w:col w:w="11420"/>
          </w:cols>
          <w:pgMar w:left="240" w:top="557" w:right="239" w:bottom="1440" w:gutter="0" w:footer="0" w:header="0"/>
        </w:sectPr>
      </w:pPr>
    </w:p>
    <w:bookmarkStart w:id="81" w:name="page82"/>
    <w:bookmarkEnd w:id="81"/>
    <w:p>
      <w:pPr>
        <w:jc w:val="both"/>
        <w:spacing w:after="0" w:line="276" w:lineRule="auto"/>
        <w:rPr>
          <w:sz w:val="20"/>
          <w:szCs w:val="20"/>
          <w:color w:val="auto"/>
        </w:rPr>
      </w:pPr>
      <w:r>
        <w:rPr>
          <w:rFonts w:ascii="Arial" w:cs="Arial" w:eastAsia="Arial" w:hAnsi="Arial"/>
          <w:sz w:val="17"/>
          <w:szCs w:val="17"/>
          <w:color w:val="auto"/>
        </w:rPr>
        <w:t>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will forthwith terminate (in which case each such director thereupon will cease to be qualified as, and will cease to be, a director) and the total authorized number of directors of the Company will automatically be reduced accordingly.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Written Consent</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Prior to the Trigger Date, any action which is required or permitted to be taken by the Company’s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the Company’s stock entitled to vote thereon were present and voted. From and after the Trigger Date, any action required or permitted to be taken by the Company’s stockholders may be taken only at a duly called annual or special meeting of the Company’s stockholders and the power of stockholders to consent in writing without a meeting is specifically denied;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the resolutions creating such series of preferred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the rights of the holders of any series of preferred stock then outstanding and to the requirements of applicable law, special meetings of stockholders of the Company held may be called only (i) by or at the direction of the Board or the Chairman of the Board pursuant to a written resolution adopted by the affirmative vote of the majority of the total number of directors that the Company would have if there were no vacancies or (ii) prior to the Trigger Date, by the Chairman of the Board of Directors at the written request of the holders of a majority of the voting power of the then outstanding shares of Voting Stock in the manner provided for in our bylaws.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Corporate Opportunities</w:t>
      </w:r>
    </w:p>
    <w:p>
      <w:pPr>
        <w:spacing w:after="0" w:line="12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To the fullest extent permitted by applicable law, none of HC Group and/or its Affiliated Companies and/or their respective directors, partners, principals, officers, members, managers and/or employees, including any of the foregoing who serve as officers or directors of the Company (collectively, the “Exempted Persons”) have any fiduciary duty to refrain from engaging directly or indirectly in the same or similar business activities or lines of business as the Company or any of its Affiliated Companies, and no Exempted Person is liable to the Company or its stockholders for breach of any fiduciary duty solely by reason of any such activities of HC Group, its Affiliated Companies or such Exempted Person. To the fullest extent permitted by applicable law, the Company, on behalf of itself and its Affiliated Companies, renounces in our charter any interest or expectancy of the Company and its Affiliated Companies in, or in being offered an opportunity to participate in, business opportunities that are from time to time presented to the Exempted Persons, even if the opportunity is one that the Company or its Affiliated Companies might reasonably be deemed to have pursued or had the ability or desire to pursue if granted the opportunity to do so, and each Exempted Person has no duty to communicate or offer such business opportunity to the Company or its Affiliated Companies and, to the fullest extent permitted by applicable law, is not liable to the Company, any of its Affiliated Companies or its stockholders for breach of any fiduciary or other duty, as a director, officer or stockholder of the Company solely, by reason of the fact that HC Group, its Affiliated Companies or any such Exempted Person pursues or acquires such business opportunity, sells, assigns, transfers or directs such business opportunity to another person or fails to present such business opportunity, or information regarding such business opportunity, to the Company or any of its Affiliated Companies. Notwithstanding anything to the contrary in Section 2 of Article Eight of our charter, the Company does not renounce any interest or expectancy it may have in (i) any business opportunity that is expressly offered to any Exempted Person solely in his or her capacity as a director or officer of the Company, and not in any other capacity, or (ii) any business opportunity that any Exempted Person first learns of in his or her capacity as a director or officer of the Company.</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Subject to the rights of the holders of any series of preferred stock then outstanding, and in addition to any vote required by applicable law, the affirmative vote of the holders of at least eighty percent (80%) of the voting power of the then outstanding shares of Voting Stock, voting together as a single class, is required to alter, amend or repeal, or to adopt any provision inconsistent with, Article Eight of the Company’s charter;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fullest extent permitted by law, neither the alteration, amendment or repeal of Article Eight nor the adoption of any provision of the Company’s charter inconsistent with Article Eight will apply to or have any effect on the liability or alleged liability of any Exempted Person for or with respect to any activities or opportunities which such Exempted Person becomes aware prior to such alteration, amendment, repeal or adoption.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for Stockholder Proposals and Nominations</w:t>
      </w:r>
    </w:p>
    <w:p>
      <w:pPr>
        <w:spacing w:after="0" w:line="121" w:lineRule="exact"/>
        <w:rPr>
          <w:sz w:val="20"/>
          <w:szCs w:val="20"/>
          <w:color w:val="auto"/>
        </w:rPr>
      </w:pPr>
    </w:p>
    <w:p>
      <w:pPr>
        <w:jc w:val="both"/>
        <w:ind w:firstLine="379"/>
        <w:spacing w:after="0" w:line="277" w:lineRule="auto"/>
        <w:rPr>
          <w:sz w:val="20"/>
          <w:szCs w:val="20"/>
          <w:color w:val="auto"/>
        </w:rPr>
      </w:pPr>
      <w:r>
        <w:rPr>
          <w:rFonts w:ascii="Arial" w:cs="Arial" w:eastAsia="Arial" w:hAnsi="Arial"/>
          <w:sz w:val="18"/>
          <w:szCs w:val="18"/>
          <w:color w:val="auto"/>
        </w:rPr>
        <w:t>Our bylaws contain provisions requiring advance notice be delivered to the Company of any business to be brought by a stockholder before an annual meeting and providing for procedures to be followed by stockholders in nominating persons for</w:t>
      </w:r>
    </w:p>
    <w:p>
      <w:pPr>
        <w:sectPr>
          <w:pgSz w:w="11900" w:h="16838" w:orient="portrait"/>
          <w:cols w:equalWidth="0" w:num="1">
            <w:col w:w="11420"/>
          </w:cols>
          <w:pgMar w:left="240" w:top="557" w:right="239" w:bottom="1440" w:gutter="0" w:footer="0" w:header="0"/>
        </w:sectPr>
      </w:pPr>
    </w:p>
    <w:bookmarkStart w:id="82" w:name="page83"/>
    <w:bookmarkEnd w:id="82"/>
    <w:p>
      <w:pPr>
        <w:jc w:val="both"/>
        <w:spacing w:after="0" w:line="259" w:lineRule="auto"/>
        <w:rPr>
          <w:sz w:val="20"/>
          <w:szCs w:val="20"/>
          <w:color w:val="auto"/>
        </w:rPr>
      </w:pPr>
      <w:r>
        <w:rPr>
          <w:rFonts w:ascii="Arial" w:cs="Arial" w:eastAsia="Arial" w:hAnsi="Arial"/>
          <w:sz w:val="18"/>
          <w:szCs w:val="18"/>
          <w:color w:val="auto"/>
        </w:rPr>
        <w:t>election to our Board of Directors, including stockholder nominees to be included in our proxy statement. A stockholder must give notice no later than the 90th day nor earlier than the 120th days before the one-year anniversary of the date on which we held our annual meeting of stockholders the previous year. The notice must contain the information required by our bylaws, and the stockholder(s) and nominee(s) must comply with the information and other requirements required by our bylaws.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Cumulative Voting</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DGCL provides that stockholders are not entitled to the right to cumulate votes in the election of directors unless our charter provides otherwise. Our charter does not provide for cumulative voting for our directors. The absence of cumulative voting may make it more difficult for stockholders owning less than a majority of our common stock to elect any directors to our Board.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Business Combinations with Interested Stockholders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do not opt out of Section 203 of the DGCL in our charter, and thus are subject to Section 203 of the DGCL. In general, Section 203 of the DGCL prohibits a publicly held Delaware corporation from engaging in a business combination with an interested stockholder for a period of three years following the date the person became an interested stockholder, unless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This may have an anti-takeover effect with respect to transactions not approved in advance by our Board, including discouraging attempts that might result in a premium over the market price for the shares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Supermajority Voting Requirements to Amend Our Charter and Bylaws</w:t>
      </w:r>
    </w:p>
    <w:p>
      <w:pPr>
        <w:spacing w:after="0" w:line="12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Subject to the rights of holders of any series of preferred stock then outstanding, notwithstanding any other provision of our charter or bylaws, and in addition to any affirmative vote of the holders of any particular class or series of the capital stock required by law or otherwise, no provision of Articles Five, Six, Seven, Nine or Ten of our charter may be altered, amended or repealed in any respect, nor may any provision of our charter or bylaws inconsistent therewith be adopted, unless in addition to any other vote required by our charter or otherwise required by law, (i) prior to the Trigger Date, such alteration, amendment, repeal or adoption is approved by the affirmative vote of the holders of a majority of the voting power of all outstanding shares of Voting Stock, voting together as a single class, and (ii) from and after the Trigger Date, such alteration, amendment, repeal or adoption is approved by the affirmative vote of holders of at least sixty-six and two-thirds percent (66⅔%) of the voting power of all outstanding shares of Voting Stock, voting together as a single class, at a meeting of the Company’s stockholders called for that purpose. Additionally, as discussed above, Article Eight of our charter can only be amended by a vote of eighty percent (80%) of the voting power of the then outstanding shares of Voting Stock, voting together as a single class, subject to the limitations discussed above.</w:t>
      </w:r>
    </w:p>
    <w:p>
      <w:pPr>
        <w:spacing w:after="0" w:line="8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Subject to the rights of holders of any series of preferred stock then outstanding, in furtherance and not in limitation of the powers conferred by law, prior to the Trigger Date, our bylaws may be amended, altered or repealed and new bylaws made by (i) the Board or (ii) in addition to any vote of the holders of any class or series of capital stock of the Company required in our charter (including any resolution or certificate of designations setting forth the terms of any series of preferred stock) and any other vote otherwise required by applicable law, the affirmative vote of the holders of at least a majority of the voting power of all of the then outstanding shares of Voting Stock, voting together as a single class. On and after the Trigger Date, our bylaws may be amended, altered or repealed and new bylaws made by (i) the Board or (ii) in addition to any of the holders of any class or series of capital stock of the Company required herein (including any certificate of designation relating to any series of preferred stock), the Bylaws or applicable law, the affirmative vote of the holders of at least sixty-six and two-thirds percent (66⅔%) of the voting power of the then outstanding Voting Stock, voting together as a single class.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on the Nasdaq Global Select Market under the symbol “OPCH.”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ectPr>
          <w:pgSz w:w="11900" w:h="16838" w:orient="portrait"/>
          <w:cols w:equalWidth="0" w:num="1">
            <w:col w:w="11420"/>
          </w:cols>
          <w:pgMar w:left="240" w:top="557" w:right="239" w:bottom="1440" w:gutter="0" w:footer="0" w:header="0"/>
        </w:sectPr>
      </w:pPr>
    </w:p>
    <w:bookmarkStart w:id="83" w:name="page84"/>
    <w:bookmarkEnd w:id="83"/>
    <w:tbl>
      <w:tblPr>
        <w:tblLayout w:type="fixed"/>
        <w:tblInd w:w="1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tcPr>
          <w:p>
            <w:pPr>
              <w:ind w:left="1540"/>
              <w:spacing w:after="0"/>
              <w:rPr>
                <w:sz w:val="20"/>
                <w:szCs w:val="20"/>
                <w:color w:val="auto"/>
              </w:rPr>
            </w:pPr>
            <w:r>
              <w:rPr>
                <w:rFonts w:ascii="Arial" w:cs="Arial" w:eastAsia="Arial" w:hAnsi="Arial"/>
                <w:sz w:val="16"/>
                <w:szCs w:val="16"/>
                <w:b w:val="1"/>
                <w:bCs w:val="1"/>
                <w:color w:val="auto"/>
              </w:rPr>
              <w:t>EXHIBIT 21.1</w:t>
            </w:r>
          </w:p>
        </w:tc>
      </w:tr>
      <w:tr>
        <w:trPr>
          <w:trHeight w:val="425"/>
        </w:trPr>
        <w:tc>
          <w:tcPr>
            <w:tcW w:w="2940" w:type="dxa"/>
            <w:vAlign w:val="bottom"/>
          </w:tcPr>
          <w:p>
            <w:pPr>
              <w:spacing w:after="0"/>
              <w:rPr>
                <w:sz w:val="24"/>
                <w:szCs w:val="24"/>
                <w:color w:val="auto"/>
              </w:rPr>
            </w:pPr>
          </w:p>
        </w:tc>
        <w:tc>
          <w:tcPr>
            <w:tcW w:w="5880" w:type="dxa"/>
            <w:vAlign w:val="bottom"/>
            <w:gridSpan w:val="3"/>
          </w:tcPr>
          <w:p>
            <w:pPr>
              <w:spacing w:after="0"/>
              <w:rPr>
                <w:sz w:val="20"/>
                <w:szCs w:val="20"/>
                <w:color w:val="auto"/>
              </w:rPr>
            </w:pPr>
            <w:r>
              <w:rPr>
                <w:rFonts w:ascii="Arial" w:cs="Arial" w:eastAsia="Arial" w:hAnsi="Arial"/>
                <w:sz w:val="22"/>
                <w:szCs w:val="22"/>
                <w:b w:val="1"/>
                <w:bCs w:val="1"/>
                <w:color w:val="auto"/>
              </w:rPr>
              <w:t>OPTION CARE HEALTH, INC. AND ITS SUBSIDIARIES</w:t>
            </w:r>
          </w:p>
        </w:tc>
        <w:tc>
          <w:tcPr>
            <w:tcW w:w="2620" w:type="dxa"/>
            <w:vAlign w:val="bottom"/>
          </w:tcPr>
          <w:p>
            <w:pPr>
              <w:spacing w:after="0"/>
              <w:rPr>
                <w:sz w:val="24"/>
                <w:szCs w:val="24"/>
                <w:color w:val="auto"/>
              </w:rPr>
            </w:pPr>
          </w:p>
        </w:tc>
      </w:tr>
      <w:tr>
        <w:trPr>
          <w:trHeight w:val="156"/>
        </w:trPr>
        <w:tc>
          <w:tcPr>
            <w:tcW w:w="2940" w:type="dxa"/>
            <w:vAlign w:val="bottom"/>
            <w:tcBorders>
              <w:bottom w:val="single" w:sz="8" w:color="auto"/>
            </w:tcBorders>
          </w:tcPr>
          <w:p>
            <w:pPr>
              <w:spacing w:after="0"/>
              <w:rPr>
                <w:sz w:val="13"/>
                <w:szCs w:val="13"/>
                <w:color w:val="auto"/>
              </w:rPr>
            </w:pPr>
          </w:p>
        </w:tc>
        <w:tc>
          <w:tcPr>
            <w:tcW w:w="3260" w:type="dxa"/>
            <w:vAlign w:val="bottom"/>
            <w:tcBorders>
              <w:top w:val="single" w:sz="8" w:color="auto"/>
              <w:bottom w:val="single" w:sz="8" w:color="auto"/>
            </w:tcBorders>
          </w:tcPr>
          <w:p>
            <w:pPr>
              <w:spacing w:after="0"/>
              <w:rPr>
                <w:sz w:val="13"/>
                <w:szCs w:val="13"/>
                <w:color w:val="auto"/>
              </w:rPr>
            </w:pPr>
          </w:p>
        </w:tc>
        <w:tc>
          <w:tcPr>
            <w:tcW w:w="2280" w:type="dxa"/>
            <w:vAlign w:val="bottom"/>
            <w:tcBorders>
              <w:top w:val="single" w:sz="8" w:color="auto"/>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r>
      <w:tr>
        <w:trPr>
          <w:trHeight w:val="269"/>
        </w:trPr>
        <w:tc>
          <w:tcPr>
            <w:tcW w:w="6200" w:type="dxa"/>
            <w:vAlign w:val="bottom"/>
            <w:tcBorders>
              <w:left w:val="single" w:sz="8" w:color="auto"/>
              <w:bottom w:val="single" w:sz="8" w:color="CCEEFF"/>
              <w:right w:val="single" w:sz="8" w:color="auto"/>
            </w:tcBorders>
            <w:gridSpan w:val="2"/>
            <w:shd w:val="clear" w:color="auto" w:fill="CCEEFF"/>
          </w:tcPr>
          <w:p>
            <w:pPr>
              <w:ind w:left="2620"/>
              <w:spacing w:after="0"/>
              <w:rPr>
                <w:sz w:val="20"/>
                <w:szCs w:val="20"/>
                <w:color w:val="auto"/>
              </w:rPr>
            </w:pPr>
            <w:r>
              <w:rPr>
                <w:rFonts w:ascii="Arial" w:cs="Arial" w:eastAsia="Arial" w:hAnsi="Arial"/>
                <w:sz w:val="18"/>
                <w:szCs w:val="18"/>
                <w:b w:val="1"/>
                <w:bCs w:val="1"/>
                <w:color w:val="auto"/>
              </w:rPr>
              <w:t>Entity Name</w:t>
            </w:r>
          </w:p>
        </w:tc>
        <w:tc>
          <w:tcPr>
            <w:tcW w:w="2620" w:type="dxa"/>
            <w:vAlign w:val="bottom"/>
            <w:tcBorders>
              <w:bottom w:val="single" w:sz="8" w:color="CCEEFF"/>
              <w:right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State of Incorporation</w:t>
            </w:r>
          </w:p>
        </w:tc>
        <w:tc>
          <w:tcPr>
            <w:tcW w:w="2620" w:type="dxa"/>
            <w:vAlign w:val="bottom"/>
            <w:tcBorders>
              <w:bottom w:val="single" w:sz="8" w:color="CCEEFF"/>
              <w:right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Doing Business As</w:t>
            </w:r>
          </w:p>
        </w:tc>
      </w:tr>
      <w:tr>
        <w:trPr>
          <w:trHeight w:val="237"/>
        </w:trPr>
        <w:tc>
          <w:tcPr>
            <w:tcW w:w="620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Applied Health Care, LLC</w:t>
            </w:r>
          </w:p>
        </w:tc>
        <w:tc>
          <w:tcPr>
            <w:tcW w:w="26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Management,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Services,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Services,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Medical Supply Services,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Nursing Services,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PBM Services,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(NY),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Services,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Minnesota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Puerto Rico,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Puerto Rico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Bradhurst Specialty Pharmacy,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CHI Holding Corp.</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Chronimed,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Minnesota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CHS Holdings,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Holdings,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Specialties Network Services of Illinois,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Specialties,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Crescent Healthcare,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Crescent Therafusion,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Care Systems of New York,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Care Systems,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Homecare Solutions,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Managed Care,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Medical Billing Services,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Indiana,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Kentucky,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Michigan,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Deaconess Enterprises,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Deaconess HomeCare,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East Goshen Pharmacy,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Pennsylvania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HC Group Holdings II,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HC Group Holdings III,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Healthy Connections Homecare Services,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Texas</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Home I.V. Specialists,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Arkansas</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HomeChoice Partners,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InfuCenters,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Infusal Partners</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Florida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HHA,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South Carolina,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Sub,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Inc.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Partners of Brunswick, LLC</w:t>
            </w:r>
          </w:p>
        </w:tc>
        <w:tc>
          <w:tcPr>
            <w:tcW w:w="26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Georgia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29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58" w:right="219" w:bottom="1440" w:gutter="0" w:footer="0" w:header="0"/>
        </w:sectPr>
      </w:pPr>
    </w:p>
    <w:bookmarkStart w:id="84" w:name="page85"/>
    <w:bookmarkEnd w:id="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2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Partners of Melbourne, LLC</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Georgia</w:t>
            </w:r>
          </w:p>
        </w:tc>
        <w:tc>
          <w:tcPr>
            <w:tcW w:w="2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Partners, LLC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Solutions,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Hampshire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Infusion Therapy Specialists,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Nebraska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Knoxville Home Therapies, LLC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Tennessee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MedNow Infusion, LLC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National Health Infusion,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Florida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Natural Living,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England Home Therapies,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Massachusetts</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Nutri USA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Enterprises,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Enterprises,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Pennsylvania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Health, Inc. (f/k/a BioScrip,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Home Care,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Illinois</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Home Health, L.L.C.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Washington</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Infusion Services,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Infusion Suites, LLC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of New York,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Health, Ltd.</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Illinois</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Home Health,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OptioNet,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PHCS Acquisition Co,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Professional Home Care Services,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Regional Ambulatory Diagnostics,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River City Pharmacy,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Scott-Wilson,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Kentucky</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Specialty Pharma,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Springville Pharmacy Infusion Therapy,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Trinity Homecare, L.L.C.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Jersey</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University Option Care, L.L.C.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37"/>
        </w:trPr>
        <w:tc>
          <w:tcPr>
            <w:tcW w:w="6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Wilcox Medical, Inc.</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Vermont</w:t>
            </w:r>
          </w:p>
        </w:tc>
        <w:tc>
          <w:tcPr>
            <w:tcW w:w="2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Care Health</w:t>
            </w:r>
          </w:p>
        </w:tc>
      </w:tr>
      <w:tr>
        <w:trPr>
          <w:trHeight w:val="27"/>
        </w:trPr>
        <w:tc>
          <w:tcPr>
            <w:tcW w:w="620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687" w:right="219" w:bottom="1440" w:gutter="0" w:footer="0" w:header="0"/>
        </w:sectPr>
      </w:pPr>
    </w:p>
    <w:bookmarkStart w:id="85" w:name="page86"/>
    <w:bookmarkEnd w:id="85"/>
    <w:p>
      <w:pPr>
        <w:ind w:left="1030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33"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 Care Health, Inc.:</w:t>
      </w:r>
    </w:p>
    <w:p>
      <w:pPr>
        <w:spacing w:after="0" w:line="211" w:lineRule="exact"/>
        <w:rPr>
          <w:sz w:val="20"/>
          <w:szCs w:val="20"/>
          <w:color w:val="auto"/>
        </w:rPr>
      </w:pPr>
    </w:p>
    <w:p>
      <w:pPr>
        <w:ind w:left="2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 (Nos. 333-210530, 333-214039, 333-216630, and 333-216631) on Form S-3 and (Nos. 333-228312 and 333-228310) on Form S-8 of Option Care Health, Inc. of our reports dated March 5, 2020, with respect to the consolidated balance sheets of Option Care Health, Inc. as of December 31, 2019 and 2018, the related consolidated statements of comprehensive income (loss), stockholders’ equity, and cash flows for each of the years in the three-year period ended December 31, 2019, and the related notes, and the effectiveness of internal control over financial reporting as of December 31, 2019, which reports appear in the December 31, 2019 annual report on Form 10-K of Option Care Health, Inc.</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Our report dated March 5, 2020, on the consolidated financial statements, refers to a change in the method of accounting for revenue recognition and leases.</w:t>
      </w:r>
    </w:p>
    <w:p>
      <w:pPr>
        <w:spacing w:after="0" w:line="248" w:lineRule="exact"/>
        <w:rPr>
          <w:sz w:val="20"/>
          <w:szCs w:val="20"/>
          <w:color w:val="auto"/>
        </w:rPr>
      </w:pPr>
    </w:p>
    <w:p>
      <w:pPr>
        <w:ind w:left="20" w:right="20" w:hanging="26"/>
        <w:spacing w:after="0" w:line="293" w:lineRule="auto"/>
        <w:rPr>
          <w:sz w:val="20"/>
          <w:szCs w:val="20"/>
          <w:color w:val="auto"/>
        </w:rPr>
      </w:pPr>
      <w:r>
        <w:rPr>
          <w:rFonts w:ascii="Arial" w:cs="Arial" w:eastAsia="Arial" w:hAnsi="Arial"/>
          <w:sz w:val="16"/>
          <w:szCs w:val="16"/>
          <w:color w:val="auto"/>
        </w:rPr>
        <w:t>Our report dated March 5, 2020, on the effectiveness of internal control over financial reporting as of December 31, 2019, contains an explanatory paragraph that states that HC Group Holdings I, Inc. and HC Group Holdings II, Inc. (collectively, Option Care) merged with and into a wholly-owned subsidiary of BioScrip, Inc. (BioScrip) on August 6, 2019, forming the Company, and management excluded from its assessment of the effectiveness of the Company’s internal control over financial reporting as of December 31, 2019, Option Care’s internal control over financial reporting associated with 93% of total assets and 87% of total revenues included in the consolidated financial statements of the Company as of and for the year ended December 31, 2019. Our audit of internal control over financial reporting of the Company also excluded an evaluation of the internal control over financial reporting of Option Care.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2020</w:t>
      </w:r>
    </w:p>
    <w:p>
      <w:pPr>
        <w:sectPr>
          <w:pgSz w:w="11900" w:h="16838" w:orient="portrait"/>
          <w:cols w:equalWidth="0" w:num="1">
            <w:col w:w="11320"/>
          </w:cols>
          <w:pgMar w:left="300" w:top="558" w:right="279" w:bottom="1440" w:gutter="0" w:footer="0" w:header="0"/>
        </w:sectPr>
      </w:pPr>
    </w:p>
    <w:bookmarkStart w:id="86" w:name="page87"/>
    <w:bookmarkEnd w:id="86"/>
    <w:p>
      <w:pPr>
        <w:ind w:left="10360"/>
        <w:spacing w:after="0"/>
        <w:rPr>
          <w:sz w:val="20"/>
          <w:szCs w:val="20"/>
          <w:color w:val="auto"/>
        </w:rPr>
      </w:pPr>
      <w:r>
        <w:rPr>
          <w:rFonts w:ascii="Arial" w:cs="Arial" w:eastAsia="Arial" w:hAnsi="Arial"/>
          <w:sz w:val="16"/>
          <w:szCs w:val="16"/>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71"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Option Care Health, Inc.;</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08"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 (Principal Executive Officer)</w:t>
      </w:r>
    </w:p>
    <w:p>
      <w:pPr>
        <w:sectPr>
          <w:pgSz w:w="11900" w:h="16838" w:orient="portrait"/>
          <w:cols w:equalWidth="0" w:num="1">
            <w:col w:w="11420"/>
          </w:cols>
          <w:pgMar w:left="240" w:top="558" w:right="239" w:bottom="1440" w:gutter="0" w:footer="0" w:header="0"/>
        </w:sectPr>
      </w:pPr>
    </w:p>
    <w:bookmarkStart w:id="87" w:name="page88"/>
    <w:bookmarkEnd w:id="87"/>
    <w:p>
      <w:pPr>
        <w:ind w:left="10400"/>
        <w:spacing w:after="0"/>
        <w:rPr>
          <w:sz w:val="20"/>
          <w:szCs w:val="20"/>
          <w:color w:val="auto"/>
        </w:rPr>
      </w:pPr>
      <w:r>
        <w:rPr>
          <w:rFonts w:ascii="Arial" w:cs="Arial" w:eastAsia="Arial" w:hAnsi="Arial"/>
          <w:sz w:val="16"/>
          <w:szCs w:val="16"/>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7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Option Care Health, Inc.;</w:t>
      </w:r>
    </w:p>
    <w:p>
      <w:pPr>
        <w:spacing w:after="0" w:line="17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right="20" w:hanging="644"/>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 (Principal Financial Officer)</w:t>
      </w:r>
    </w:p>
    <w:p>
      <w:pPr>
        <w:sectPr>
          <w:pgSz w:w="11900" w:h="16838" w:orient="portrait"/>
          <w:cols w:equalWidth="0" w:num="1">
            <w:col w:w="11420"/>
          </w:cols>
          <w:pgMar w:left="240" w:top="558"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Annual Report of Option Care Health, Inc. (the “Company”) on Form 10-K for the year ended December 31, 2019,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111"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 (Principal Executive Officer)</w:t>
      </w:r>
    </w:p>
    <w:p>
      <w:pPr>
        <w:sectPr>
          <w:pgSz w:w="11900" w:h="16838" w:orient="portrait"/>
          <w:cols w:equalWidth="0" w:num="1">
            <w:col w:w="11420"/>
          </w:cols>
          <w:pgMar w:left="240" w:top="553"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Annual Report of Option Care Health, Inc. (the “Company”) on Form 10-K for the year ended December 31, 2019,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111"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 (Principal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3"/>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5"/>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lvl w:ilvl="1">
      <w:lvlJc w:val="left"/>
      <w:lvlText w:val="(%2)"/>
      <w:numFmt w:val="decimal"/>
      <w:start w:val="1"/>
    </w:lvl>
  </w:abstractNum>
  <w:abstractNum w:abstractNumId="23">
    <w:nsid w:val="189A769B"/>
    <w:multiLevelType w:val="hybridMultilevel"/>
    <w:lvl w:ilvl="0">
      <w:lvlJc w:val="left"/>
      <w:lvlText w:val="%1."/>
      <w:numFmt w:val="decimal"/>
      <w:start w:val="17"/>
    </w:lvl>
    <w:lvl w:ilvl="1">
      <w:lvlJc w:val="left"/>
      <w:lvlText w:val="%2"/>
      <w:numFmt w:val="decimal"/>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hyperlink" Target="http://www.sec.gov/Archives/edgar/data/1014739/000095012310005446/y81669aexv2w1.htm" TargetMode="External"/><Relationship Id="rId20" Type="http://schemas.openxmlformats.org/officeDocument/2006/relationships/hyperlink" Target="http://www.sec.gov/Archives/edgar/data/1014739/000114420413005855/v333776_ex2-1.htm" TargetMode="External"/><Relationship Id="rId21" Type="http://schemas.openxmlformats.org/officeDocument/2006/relationships/hyperlink" Target="http://www.sec.gov/Archives/edgar/data/1014739/000114420416107943/v442184_ex2-1.htm" TargetMode="External"/><Relationship Id="rId22" Type="http://schemas.openxmlformats.org/officeDocument/2006/relationships/hyperlink" Target="http://www.sec.gov/Archives/edgar/data/1014739/000114420416108823/v442470_ex2-1.htm" TargetMode="External"/><Relationship Id="rId23" Type="http://schemas.openxmlformats.org/officeDocument/2006/relationships/hyperlink" Target="http://www.sec.gov/Archives/edgar/data/1014739/000114420416122940/v448404_ex2-1.htm" TargetMode="External"/><Relationship Id="rId24" Type="http://schemas.openxmlformats.org/officeDocument/2006/relationships/hyperlink" Target="http://www.sec.gov/Archives/edgar/data/1014739/000114420416123640/v448690_ex2-1.htm" TargetMode="External"/><Relationship Id="rId25" Type="http://schemas.openxmlformats.org/officeDocument/2006/relationships/hyperlink" Target="http://www.sec.gov/Archives/edgar/data/1014739/000114420419014367/tv516369_ex2-1.htm" TargetMode="External"/><Relationship Id="rId26" Type="http://schemas.openxmlformats.org/officeDocument/2006/relationships/hyperlink" Target="http://www.sec.gov/Archives/edgar/data/1014739/000114420419038047/tv526734_ex3-1.htm" TargetMode="External"/><Relationship Id="rId27" Type="http://schemas.openxmlformats.org/officeDocument/2006/relationships/hyperlink" Target="http://www.sec.gov/Archives/edgar/data/1014739/000114420419038047/tv526734_ex3-3.htm" TargetMode="External"/><Relationship Id="rId28" Type="http://schemas.openxmlformats.org/officeDocument/2006/relationships/hyperlink" Target="http://www.sec.gov/Archives/edgar/data/1014739/000114420419038047/tv526734_ex3-4.htm" TargetMode="External"/><Relationship Id="rId29" Type="http://schemas.openxmlformats.org/officeDocument/2006/relationships/hyperlink" Target="http://www.sec.gov/Archives/edgar/data/1014739/000114420415014933/v403951_ex4-1.htm" TargetMode="External"/><Relationship Id="rId30" Type="http://schemas.openxmlformats.org/officeDocument/2006/relationships/hyperlink" Target="http://www.sec.gov/Archives/edgar/data/1014739/000114420416107943/v442184_ex4-1.htm" TargetMode="External"/><Relationship Id="rId31" Type="http://schemas.openxmlformats.org/officeDocument/2006/relationships/hyperlink" Target="http://www.sec.gov/Archives/edgar/data/1014739/000114420416108111/v442259_ex4-1.htm" TargetMode="External"/><Relationship Id="rId32" Type="http://schemas.openxmlformats.org/officeDocument/2006/relationships/hyperlink" Target="http://www.sec.gov/Archives/edgar/data/1014739/000114420415034216/v411770_ex4-1.htm" TargetMode="External"/><Relationship Id="rId33" Type="http://schemas.openxmlformats.org/officeDocument/2006/relationships/hyperlink" Target="http://www.sec.gov/Archives/edgar/data/1014739/000114420415044654/v416452_ex4-1.htm" TargetMode="External"/><Relationship Id="rId34" Type="http://schemas.openxmlformats.org/officeDocument/2006/relationships/hyperlink" Target="http://www.sec.gov/Archives/edgar/data/1014739/000114420417012539/v460823_ex4-1.htm" TargetMode="External"/><Relationship Id="rId35" Type="http://schemas.openxmlformats.org/officeDocument/2006/relationships/hyperlink" Target="http://www.sec.gov/Archives/edgar/data/1014739/000114420417034758/v469985_ex4-2.htm" TargetMode="External"/><Relationship Id="rId36" Type="http://schemas.openxmlformats.org/officeDocument/2006/relationships/hyperlink" Target="http://www.sec.gov/Archives/edgar/data/1014739/000114420419014367/tv516369_ex10-4.htm" TargetMode="External"/><Relationship Id="rId37" Type="http://schemas.openxmlformats.org/officeDocument/2006/relationships/hyperlink" Target="http://www.sec.gov/Archives/edgar/data/1014739/000114420417034758/v469985_ex4-1.htm" TargetMode="External"/><Relationship Id="rId38" Type="http://schemas.openxmlformats.org/officeDocument/2006/relationships/hyperlink" Target="http://www.sec.gov/Archives/edgar/data/1014739/000114420419038047/tv526734_ex4-1.htm" TargetMode="External"/><Relationship Id="rId39" Type="http://schemas.openxmlformats.org/officeDocument/2006/relationships/hyperlink" Target="http://www.sec.gov/Archives/edgar/data/1014739/000110465919065468/tm1923335d1_ex4-1.htm" TargetMode="External"/><Relationship Id="rId40" Type="http://schemas.openxmlformats.org/officeDocument/2006/relationships/hyperlink" Target="http://www.sec.gov/Archives/edgar/data/1014739/000114420413019592/v340213_def14a.htm" TargetMode="External"/><Relationship Id="rId41" Type="http://schemas.openxmlformats.org/officeDocument/2006/relationships/hyperlink" Target="http://www.sec.gov/Archives/edgar/data/1014739/000101473915000012/esppamendmenteffectiveapri.htm" TargetMode="External"/><Relationship Id="rId42" Type="http://schemas.openxmlformats.org/officeDocument/2006/relationships/hyperlink" Target="http://www.sec.gov/Archives/edgar/data/1014739/000114420418019098/tv490005-def14a.htm" TargetMode="External"/><Relationship Id="rId43" Type="http://schemas.openxmlformats.org/officeDocument/2006/relationships/hyperlink" Target="http://www.sec.gov/Archives/edgar/data/1014739/000114420419014367/tv516369_ex10-2.htm" TargetMode="External"/><Relationship Id="rId44" Type="http://schemas.openxmlformats.org/officeDocument/2006/relationships/hyperlink" Target="http://www.sec.gov/Archives/edgar/data/1014739/000114420419014367/tv516369_ex10-3.htm" TargetMode="External"/><Relationship Id="rId45" Type="http://schemas.openxmlformats.org/officeDocument/2006/relationships/hyperlink" Target="http://www.sec.gov/Archives/edgar/data/1014739/000114420419038047/tv526734_ex10-1.htm" TargetMode="External"/><Relationship Id="rId46" Type="http://schemas.openxmlformats.org/officeDocument/2006/relationships/hyperlink" Target="http://www.sec.gov/Archives/edgar/data/1014739/000114420419038047/tv526734_ex10-2.htm" TargetMode="External"/><Relationship Id="rId47" Type="http://schemas.openxmlformats.org/officeDocument/2006/relationships/hyperlink" Target="http://www.sec.gov/Archives/edgar/data/1014739/000114420419038047/tv526734_ex10-3.htm" TargetMode="External"/><Relationship Id="rId48" Type="http://schemas.openxmlformats.org/officeDocument/2006/relationships/hyperlink" Target="http://www.sec.gov/Archives/edgar/data/1014739/000114420419038047/tv526734_ex10-4.htm" TargetMode="External"/><Relationship Id="rId49" Type="http://schemas.openxmlformats.org/officeDocument/2006/relationships/hyperlink" Target="http://www.sec.gov/Archives/edgar/data/1014739/000114420419038047/tv526734_ex10-5.htm" TargetMode="External"/><Relationship Id="rId50" Type="http://schemas.openxmlformats.org/officeDocument/2006/relationships/hyperlink" Target="http://www.sec.gov/Archives/edgar/data/1014739/000114420419038051/tv526894_ex10-1.htm" TargetMode="External"/><Relationship Id="rId51" Type="http://schemas.openxmlformats.org/officeDocument/2006/relationships/hyperlink" Target="http://www.sec.gov/Archives/edgar/data/1014739/000114420419038051/tv526894_ex10-2.htm" TargetMode="External"/><Relationship Id="rId52" Type="http://schemas.openxmlformats.org/officeDocument/2006/relationships/hyperlink" Target="http://www.sec.gov/Archives/edgar/data/1014739/000114420419038051/tv526894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2020-03-05T15:39:05Z</dcterms:created>
  <dcterms:modified xsi:type="dcterms:W3CDTF">2020-03-05T15:39:05Z</dcterms:modified>
</cp:coreProperties>
</file>