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18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3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3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200"/>
        <w:ind w:left="0" w:right="0" w:firstLine="180"/>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0" w:after="0"/>
        <w:ind w:left="0" w:right="0" w:firstLine="18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20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Pursuant to Section 13 or 15(d) of the Securities Exchange Act of 1934</w:t>
      </w:r>
    </w:p>
    <w:p>
      <w:pPr>
        <w:pStyle w:val="TextBody"/>
        <w:bidi w:val="0"/>
        <w:spacing w:lineRule="auto" w:line="288" w:before="0" w:after="0"/>
        <w:ind w:left="0" w:right="0" w:firstLine="18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Date of Report (Date of earliest event reported)</w:t>
      </w:r>
    </w:p>
    <w:p>
      <w:pPr>
        <w:pStyle w:val="TextBody"/>
        <w:bidi w:val="0"/>
        <w:spacing w:lineRule="auto" w:line="288" w:before="0" w:after="20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July 29, 2026</w:t>
      </w:r>
    </w:p>
    <w:p>
      <w:pPr>
        <w:pStyle w:val="TextBody"/>
        <w:bidi w:val="0"/>
        <w:spacing w:before="0" w:after="0"/>
        <w:ind w:left="0" w:right="0" w:firstLine="180"/>
        <w:jc w:val="center"/>
        <w:rPr/>
      </w:pPr>
      <w:r>
        <w:rPr/>
        <w:drawing>
          <wp:inline distT="0" distB="0" distL="0" distR="0">
            <wp:extent cx="1905000"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771525"/>
                    </a:xfrm>
                    <a:prstGeom prst="rect">
                      <a:avLst/>
                    </a:prstGeom>
                  </pic:spPr>
                </pic:pic>
              </a:graphicData>
            </a:graphic>
          </wp:inline>
        </w:drawing>
      </w:r>
      <w:bookmarkStart w:id="0" w:name="i-1"/>
      <w:bookmarkEnd w:id="0"/>
    </w:p>
    <w:p>
      <w:pPr>
        <w:pStyle w:val="TextBody"/>
        <w:bidi w:val="0"/>
        <w:spacing w:lineRule="auto" w:line="288" w:before="200" w:after="283"/>
        <w:ind w:left="0" w:right="0" w:firstLine="180"/>
        <w:jc w:val="center"/>
        <w:rPr>
          <w:rFonts w:ascii="Times New Roman;serif" w:hAnsi="Times New Roman;serif"/>
          <w:b/>
          <w:color w:val="000000"/>
          <w:sz w:val="28"/>
        </w:rPr>
      </w:pPr>
      <w:r>
        <w:rPr>
          <w:rFonts w:ascii="Times New Roman;serif" w:hAnsi="Times New Roman;serif"/>
          <w:b/>
          <w:color w:val="000000"/>
          <w:sz w:val="28"/>
        </w:rPr>
        <w:t>OPTION CARE HEALTH, INC.</w:t>
      </w:r>
    </w:p>
    <w:p>
      <w:pPr>
        <w:pStyle w:val="TextBody"/>
        <w:bidi w:val="0"/>
        <w:spacing w:lineRule="auto" w:line="288" w:before="0" w:after="20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9223" w:type="dxa"/>
        <w:jc w:val="center"/>
        <w:tblInd w:w="0" w:type="dxa"/>
        <w:tblLayout w:type="fixed"/>
        <w:tblCellMar>
          <w:top w:w="28" w:type="dxa"/>
          <w:left w:w="28" w:type="dxa"/>
          <w:bottom w:w="28" w:type="dxa"/>
          <w:right w:w="28" w:type="dxa"/>
        </w:tblCellMar>
      </w:tblPr>
      <w:tblGrid>
        <w:gridCol w:w="1328"/>
        <w:gridCol w:w="1167"/>
        <w:gridCol w:w="1179"/>
        <w:gridCol w:w="762"/>
        <w:gridCol w:w="762"/>
        <w:gridCol w:w="770"/>
        <w:gridCol w:w="951"/>
        <w:gridCol w:w="951"/>
        <w:gridCol w:w="1353"/>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Delaware</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001-11993</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05-0489664</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bl>
    <w:p>
      <w:pPr>
        <w:pStyle w:val="TextBody"/>
        <w:bidi w:val="0"/>
        <w:spacing w:lineRule="auto" w:line="288" w:before="200" w:after="283"/>
        <w:ind w:left="0" w:right="0" w:firstLine="18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3000 Lakeside Dr. Suite 300N, Bannockburn, IL 60015</w:t>
      </w:r>
    </w:p>
    <w:p>
      <w:pPr>
        <w:pStyle w:val="TextBody"/>
        <w:bidi w:val="0"/>
        <w:spacing w:lineRule="auto" w:line="288" w:before="0" w:after="20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0" w:after="0"/>
        <w:ind w:left="0" w:right="0" w:firstLine="18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(312) 940-2443</w:t>
      </w:r>
    </w:p>
    <w:p>
      <w:pPr>
        <w:pStyle w:val="TextBody"/>
        <w:bidi w:val="0"/>
        <w:spacing w:lineRule="auto" w:line="288" w:before="0" w:after="200"/>
        <w:ind w:left="0" w:right="0" w:firstLine="18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center"/>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ind w:left="0" w:right="0" w:hanging="225"/>
        <w:jc w:val="both"/>
        <w:rPr>
          <w:color w:val="000000"/>
        </w:rPr>
      </w:pPr>
      <w:r>
        <w:rPr>
          <w:color w:val="000000"/>
        </w:rPr>
        <w:t>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200"/>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w:t>
      </w:r>
    </w:p>
    <w:p>
      <w:pPr>
        <w:pStyle w:val="TextBody"/>
        <w:bidi w:val="0"/>
        <w:spacing w:lineRule="auto" w:line="288" w:before="0" w:after="200"/>
        <w:jc w:val="left"/>
        <w:rPr/>
      </w:pPr>
      <w:r>
        <w:rPr>
          <w:rFonts w:ascii="Times New Roman;serif" w:hAnsi="Times New Roman;serif"/>
          <w:b w:val="false"/>
          <w:color w:val="000000"/>
          <w:sz w:val="20"/>
        </w:rPr>
        <w:t xml:space="preserve">Act. </w:t>
      </w:r>
      <w:r>
        <w:rPr>
          <w:color w:val="000000"/>
        </w:rPr>
        <w:t>☐</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07" w:type="dxa"/>
        <w:jc w:val="center"/>
        <w:tblInd w:w="0" w:type="dxa"/>
        <w:tblLayout w:type="fixed"/>
        <w:tblCellMar>
          <w:top w:w="28" w:type="dxa"/>
          <w:left w:w="28" w:type="dxa"/>
          <w:bottom w:w="28" w:type="dxa"/>
          <w:right w:w="28" w:type="dxa"/>
        </w:tblCellMar>
      </w:tblPr>
      <w:tblGrid>
        <w:gridCol w:w="1189"/>
        <w:gridCol w:w="1042"/>
        <w:gridCol w:w="1053"/>
        <w:gridCol w:w="484"/>
        <w:gridCol w:w="484"/>
        <w:gridCol w:w="486"/>
        <w:gridCol w:w="956"/>
        <w:gridCol w:w="956"/>
        <w:gridCol w:w="1357"/>
      </w:tblGrid>
      <w:tr>
        <w:trPr/>
        <w:tc>
          <w:tcPr>
            <w:tcW w:w="118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28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$0.0001 par value per share</w:t>
            </w:r>
          </w:p>
        </w:tc>
        <w:tc>
          <w:tcPr>
            <w:tcW w:w="145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OPCH</w:t>
            </w:r>
          </w:p>
        </w:tc>
        <w:tc>
          <w:tcPr>
            <w:tcW w:w="326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180"/>
                        <w:jc w:val="left"/>
                        <w:rPr/>
                      </w:pPr>
                      <w:r>
                        <w:rPr/>
                      </w:r>
                    </w:p>
                  </w:txbxContent>
                </v:textbox>
                <w10:wrap type="none"/>
              </v:rect>
            </w:pict>
          </mc:Fallback>
        </mc:AlternateContent>
      </w:r>
    </w:p>
    <w:p>
      <w:pPr>
        <w:pStyle w:val="TextBody"/>
        <w:bidi w:val="0"/>
        <w:spacing w:before="0" w:after="0"/>
        <w:ind w:left="0" w:right="0" w:firstLine="18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July 29, 2026, Option Care Health, Inc. issued a press release reporting its second quarter 2026 financial results. A copy of the press release is furnished with this Form 8-K and attached hereto as Exhibit 99.1.</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press release includes certain non-GAAP financial measures described therein. Reconciliation between any non-GAAP financial measures presented and the most directly comparable GAAP financial measures is also provided.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in this Form 8-K and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or the Exchange Act, except as expressly set forth by specific reference in such filing.</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 Exhibits</w:t>
      </w:r>
    </w:p>
    <w:tbl>
      <w:tblPr>
        <w:tblW w:w="8007" w:type="dxa"/>
        <w:jc w:val="center"/>
        <w:tblInd w:w="0" w:type="dxa"/>
        <w:tblLayout w:type="fixed"/>
        <w:tblCellMar>
          <w:top w:w="28" w:type="dxa"/>
          <w:left w:w="28" w:type="dxa"/>
          <w:bottom w:w="28" w:type="dxa"/>
          <w:right w:w="28" w:type="dxa"/>
        </w:tblCellMar>
      </w:tblPr>
      <w:tblGrid>
        <w:gridCol w:w="391"/>
        <w:gridCol w:w="344"/>
        <w:gridCol w:w="345"/>
        <w:gridCol w:w="109"/>
        <w:gridCol w:w="109"/>
        <w:gridCol w:w="109"/>
        <w:gridCol w:w="1928"/>
        <w:gridCol w:w="1928"/>
        <w:gridCol w:w="274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exhibit991-q22026.htm">
              <w:r>
                <w:rPr>
                  <w:rStyle w:val="InternetLink"/>
                  <w:rFonts w:ascii="Times New Roman;serif" w:hAnsi="Times New Roman;serif"/>
                  <w:b w:val="false"/>
                  <w:color w:val="0000FF"/>
                  <w:sz w:val="20"/>
                  <w:u w:val="single"/>
                </w:rPr>
                <w:t>Press release dated July 29,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437" w:type="dxa"/>
        <w:jc w:val="center"/>
        <w:tblInd w:w="0" w:type="dxa"/>
        <w:tblLayout w:type="fixed"/>
        <w:tblCellMar>
          <w:top w:w="28" w:type="dxa"/>
          <w:left w:w="28" w:type="dxa"/>
          <w:bottom w:w="28" w:type="dxa"/>
          <w:right w:w="28" w:type="dxa"/>
        </w:tblCellMar>
      </w:tblPr>
      <w:tblGrid>
        <w:gridCol w:w="200"/>
        <w:gridCol w:w="177"/>
        <w:gridCol w:w="178"/>
        <w:gridCol w:w="404"/>
        <w:gridCol w:w="404"/>
        <w:gridCol w:w="406"/>
        <w:gridCol w:w="134"/>
        <w:gridCol w:w="134"/>
        <w:gridCol w:w="136"/>
        <w:gridCol w:w="662"/>
        <w:gridCol w:w="662"/>
        <w:gridCol w:w="94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Option Care Health, Inc.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July 29,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Meenal Sethna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Meenal Sethna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180"/>
                        <w:jc w:val="left"/>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right"/>
        <w:rPr>
          <w:rFonts w:ascii="Times New Roman;serif" w:hAnsi="Times New Roman;serif"/>
          <w:b/>
          <w:color w:val="000000"/>
          <w:sz w:val="24"/>
        </w:rPr>
      </w:pPr>
      <w:r>
        <w:rPr>
          <w:rFonts w:ascii="Times New Roman;serif" w:hAnsi="Times New Roman;serif"/>
          <w:b/>
          <w:color w:val="000000"/>
          <w:sz w:val="24"/>
        </w:rPr>
        <w:t>Exhibit 99.1</w:t>
      </w:r>
    </w:p>
    <w:p>
      <w:pPr>
        <w:pStyle w:val="TextBody"/>
        <w:bidi w:val="0"/>
        <w:spacing w:lineRule="auto" w:line="288" w:before="0" w:after="0"/>
        <w:jc w:val="center"/>
        <w:rPr/>
      </w:pPr>
      <w:r>
        <w:rPr>
          <w:color w:val="000000"/>
        </w:rPr>
        <w:t> </w:t>
      </w:r>
      <w:r>
        <w:rPr/>
        <w:drawing>
          <wp:inline distT="0" distB="0" distL="0" distR="0">
            <wp:extent cx="2009775" cy="8001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2009775" cy="800100"/>
                    </a:xfrm>
                    <a:prstGeom prst="rect">
                      <a:avLst/>
                    </a:prstGeom>
                  </pic:spPr>
                </pic:pic>
              </a:graphicData>
            </a:graphic>
          </wp:inline>
        </w:drawing>
      </w:r>
    </w:p>
    <w:p>
      <w:pPr>
        <w:pStyle w:val="TextBody"/>
        <w:bidi w:val="0"/>
        <w:spacing w:lineRule="auto" w:line="288" w:before="360" w:after="240"/>
        <w:jc w:val="center"/>
        <w:rPr>
          <w:rFonts w:ascii="Times New Roman;serif" w:hAnsi="Times New Roman;serif"/>
          <w:b/>
          <w:color w:val="000000"/>
          <w:sz w:val="24"/>
        </w:rPr>
      </w:pPr>
      <w:r>
        <w:rPr>
          <w:rFonts w:ascii="Times New Roman;serif" w:hAnsi="Times New Roman;serif"/>
          <w:b/>
          <w:color w:val="000000"/>
          <w:sz w:val="24"/>
        </w:rPr>
        <w:t>OPTION CARE HEALTH ANNOUNCES FINANCIAL RESULTS FOR THE SECOND QUARTER ENDED JUNE 30, 2026</w:t>
      </w:r>
    </w:p>
    <w:p>
      <w:pPr>
        <w:pStyle w:val="TextBody"/>
        <w:bidi w:val="0"/>
        <w:spacing w:lineRule="auto" w:line="288" w:before="120" w:after="240"/>
        <w:jc w:val="left"/>
        <w:rPr/>
      </w:pPr>
      <w:r>
        <w:rPr>
          <w:rFonts w:ascii="Times New Roman;serif" w:hAnsi="Times New Roman;serif"/>
          <w:b/>
          <w:color w:val="000000"/>
          <w:sz w:val="24"/>
        </w:rPr>
        <w:t>BANNOCKBURN, IL., July 29, 2026</w:t>
      </w:r>
      <w:r>
        <w:rPr>
          <w:color w:val="000000"/>
        </w:rPr>
        <w:t xml:space="preserve"> </w:t>
      </w:r>
      <w:r>
        <w:rPr>
          <w:rFonts w:ascii="Times New Roman;serif" w:hAnsi="Times New Roman;serif"/>
          <w:b w:val="false"/>
          <w:color w:val="000000"/>
          <w:sz w:val="24"/>
        </w:rPr>
        <w:t>- Option Care Health, Inc. (the “Company” or “Option Care Health”) (Nasdaq: OPCH), the nation’s largest independent provider of home and alternate site infusion services, announced today financial results for the second quarter ended June 30, 2026.</w:t>
      </w:r>
    </w:p>
    <w:p>
      <w:pPr>
        <w:pStyle w:val="TextBody"/>
        <w:bidi w:val="0"/>
        <w:spacing w:lineRule="auto" w:line="288" w:before="0" w:after="120"/>
        <w:jc w:val="left"/>
        <w:rPr>
          <w:rFonts w:ascii="Times New Roman;serif" w:hAnsi="Times New Roman;serif"/>
          <w:b/>
          <w:color w:val="000000"/>
          <w:sz w:val="24"/>
          <w:u w:val="single"/>
        </w:rPr>
      </w:pPr>
      <w:r>
        <w:rPr>
          <w:rFonts w:ascii="Times New Roman;serif" w:hAnsi="Times New Roman;serif"/>
          <w:b/>
          <w:color w:val="000000"/>
          <w:sz w:val="24"/>
          <w:u w:val="single"/>
        </w:rPr>
        <w:t>Second Quarter 2026 Financial Highlights</w:t>
      </w:r>
    </w:p>
    <w:p>
      <w:pPr>
        <w:pStyle w:val="TextBody"/>
        <w:bidi w:val="0"/>
        <w:spacing w:lineRule="auto" w:line="288" w:before="0" w:after="120"/>
        <w:jc w:val="left"/>
        <w:rPr>
          <w:rFonts w:ascii="Times New Roman;serif" w:hAnsi="Times New Roman;serif"/>
          <w:b w:val="false"/>
          <w:i/>
          <w:color w:val="000000"/>
          <w:sz w:val="24"/>
        </w:rPr>
      </w:pPr>
      <w:r>
        <w:rPr>
          <w:rFonts w:ascii="Times New Roman;serif" w:hAnsi="Times New Roman;serif"/>
          <w:b w:val="false"/>
          <w:i/>
          <w:color w:val="000000"/>
          <w:sz w:val="24"/>
        </w:rPr>
        <w:t>(year-over-year comparisons unless otherwise noted)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Net revenue of $1,442 million, up 1.9%</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GAAP net income of $53.9 million, up 6.7%</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GAAP diluted earnings per share of $0.35, up 12.9%</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Adjusted EBITDA of $117.5 million, up 3.0%</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Adjusted diluted earnings per share of $0.45, up 9.8%</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Cash provided by Q2</w:t>
      </w:r>
      <w:r>
        <w:rPr>
          <w:color w:val="000000"/>
        </w:rPr>
        <w:t xml:space="preserve"> </w:t>
      </w:r>
      <w:r>
        <w:rPr>
          <w:rFonts w:ascii="Times New Roman;serif" w:hAnsi="Times New Roman;serif"/>
          <w:b w:val="false"/>
          <w:color w:val="000000"/>
          <w:sz w:val="24"/>
        </w:rPr>
        <w:t>operating activities of $184 million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Repurchased $150 million of outstanding shares in the quarter</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John C. Rademacher, Chief Executive Officer, commented, “I’m proud of our team as we delivered strong second quarter results, reflecting solid operational execution and the positive impact of our 2026 strategic initiatives. Looking ahead, our results reinforce our confidence in the underlying fundamentals of the business, but there is still work to do as we further position the company for a sustainable long-term growth trajectory. Given the strength of our clinical platform, significant market opportunities and our operational focus, we believe we are well positioned to achieve our 2026 priorities while creating meaningful value for our patients, partners, and shareholders.”</w:t>
      </w:r>
    </w:p>
    <w:p>
      <w:pPr>
        <w:pStyle w:val="TextBody"/>
        <w:bidi w:val="0"/>
        <w:spacing w:lineRule="auto" w:line="288" w:before="0" w:after="120"/>
        <w:jc w:val="left"/>
        <w:rPr>
          <w:rFonts w:ascii="Times New Roman;serif" w:hAnsi="Times New Roman;serif"/>
          <w:b/>
          <w:color w:val="000000"/>
          <w:sz w:val="24"/>
          <w:u w:val="single"/>
        </w:rPr>
      </w:pPr>
      <w:r>
        <w:rPr>
          <w:rFonts w:ascii="Times New Roman;serif" w:hAnsi="Times New Roman;serif"/>
          <w:b/>
          <w:color w:val="000000"/>
          <w:sz w:val="24"/>
          <w:u w:val="single"/>
        </w:rPr>
        <w:t>Updated Full Year and Third Quarter 2026 Financial Guidance</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For the full year 2026, Option Care Health expects the following: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Net revenue of $5.675 billion to $5.775 billion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Adjusted diluted earnings per share of $1.85 to $1.92</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Adjusted EBITDA of $480 million to $495 million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4"/>
        </w:rPr>
        <w:t>Cash provided by operating activities of at least $320 million</w:t>
      </w:r>
    </w:p>
    <w:p>
      <w:pPr>
        <w:pStyle w:val="TextBody"/>
        <w:bidi w:val="0"/>
        <w:spacing w:lineRule="auto" w:line="288" w:before="0" w:after="120"/>
        <w:jc w:val="left"/>
        <w:rPr>
          <w:rFonts w:ascii="Times New Roman;serif" w:hAnsi="Times New Roman;serif"/>
          <w:b w:val="false"/>
          <w:color w:val="000000"/>
          <w:sz w:val="24"/>
        </w:rPr>
      </w:pPr>
      <w:r>
        <w:rPr>
          <w:rFonts w:ascii="Times New Roman;serif" w:hAnsi="Times New Roman;serif"/>
          <w:b w:val="false"/>
          <w:color w:val="000000"/>
          <w:sz w:val="24"/>
        </w:rPr>
        <w:t>For the third quarter 2026, Option Care Health expects the following compared to the second quarter 2026: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Sequential net revenue growth in the low to mid single-digits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4"/>
        </w:rPr>
        <w:t>Sequential Adjusted EBITDA growth in the mid single-digits</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000000"/>
          <w:sz w:val="24"/>
          <w:u w:val="single"/>
        </w:rPr>
      </w:pPr>
      <w:r>
        <w:rPr>
          <w:rFonts w:ascii="Times New Roman;serif" w:hAnsi="Times New Roman;serif"/>
          <w:b/>
          <w:color w:val="000000"/>
          <w:sz w:val="24"/>
          <w:u w:val="single"/>
        </w:rPr>
        <w:t>Conference Call</w:t>
      </w:r>
    </w:p>
    <w:p>
      <w:pPr>
        <w:pStyle w:val="TextBody"/>
        <w:bidi w:val="0"/>
        <w:spacing w:lineRule="auto" w:line="288" w:before="0" w:after="240"/>
        <w:jc w:val="left"/>
        <w:rPr/>
      </w:pPr>
      <w:r>
        <w:rPr>
          <w:rFonts w:ascii="Times New Roman;serif" w:hAnsi="Times New Roman;serif"/>
          <w:b w:val="false"/>
          <w:color w:val="000000"/>
          <w:sz w:val="24"/>
        </w:rPr>
        <w:t xml:space="preserve">Option Care Health will host a conference call to discuss its results on Wednesday, July 29, 2026, at 8:30 a.m. ET. The conference call can be accessed via a live audio webcast that will be available online at </w:t>
      </w:r>
      <w:r>
        <w:rPr>
          <w:rFonts w:ascii="Times New Roman;serif" w:hAnsi="Times New Roman;serif"/>
          <w:b w:val="false"/>
          <w:color w:val="0000FF"/>
          <w:sz w:val="24"/>
          <w:u w:val="single"/>
        </w:rPr>
        <w:t>investors.optioncarehealth.com</w:t>
      </w:r>
      <w:r>
        <w:rPr>
          <w:rFonts w:ascii="Times New Roman;serif" w:hAnsi="Times New Roman;serif"/>
          <w:b w:val="false"/>
          <w:color w:val="000000"/>
          <w:sz w:val="24"/>
        </w:rPr>
        <w:t>. A replay of the call will be available at the same web link for 90 days after the call.</w:t>
      </w:r>
    </w:p>
    <w:p>
      <w:pPr>
        <w:pStyle w:val="TextBody"/>
        <w:bidi w:val="0"/>
        <w:spacing w:lineRule="auto" w:line="288" w:before="0" w:after="120"/>
        <w:jc w:val="left"/>
        <w:rPr>
          <w:rFonts w:ascii="Times New Roman;serif" w:hAnsi="Times New Roman;serif"/>
          <w:b/>
          <w:color w:val="000000"/>
          <w:sz w:val="24"/>
          <w:u w:val="single"/>
        </w:rPr>
      </w:pPr>
      <w:r>
        <w:rPr>
          <w:rFonts w:ascii="Times New Roman;serif" w:hAnsi="Times New Roman;serif"/>
          <w:b/>
          <w:color w:val="000000"/>
          <w:sz w:val="24"/>
          <w:u w:val="single"/>
        </w:rPr>
        <w:t>About Option Care Health</w:t>
      </w:r>
    </w:p>
    <w:p>
      <w:pPr>
        <w:pStyle w:val="TextBody"/>
        <w:bidi w:val="0"/>
        <w:spacing w:lineRule="auto" w:line="288" w:before="0" w:after="240"/>
        <w:jc w:val="left"/>
        <w:rPr/>
      </w:pPr>
      <w:r>
        <w:rPr>
          <w:rFonts w:ascii="Times New Roman;serif" w:hAnsi="Times New Roman;serif"/>
          <w:b w:val="false"/>
          <w:color w:val="000000"/>
          <w:sz w:val="24"/>
        </w:rPr>
        <w:t xml:space="preserve">Option Care Health is the nation’s largest independent provider of home and alternate site infusion services. With over 8,000 team members, including more than 5,000 clinicians, we work compassionately to elevate standards of care for patients with acute and chronic conditions in all 50 states. Through our clinical leadership, expertise and national scale, Option Care Health is reimagining the infusion care experience for patients, customers and team members. To learn more, please visit our website at </w:t>
      </w:r>
      <w:r>
        <w:rPr>
          <w:rFonts w:ascii="Times New Roman;serif" w:hAnsi="Times New Roman;serif"/>
          <w:b w:val="false"/>
          <w:color w:val="0000FF"/>
          <w:sz w:val="24"/>
          <w:u w:val="single"/>
        </w:rPr>
        <w:t>optioncarehealth.com</w:t>
      </w:r>
      <w:r>
        <w:rPr>
          <w:rFonts w:ascii="Times New Roman;serif" w:hAnsi="Times New Roman;serif"/>
          <w:b w:val="false"/>
          <w:color w:val="000000"/>
          <w:sz w:val="24"/>
        </w:rPr>
        <w:t>.</w:t>
      </w:r>
    </w:p>
    <w:p>
      <w:pPr>
        <w:pStyle w:val="TextBody"/>
        <w:bidi w:val="0"/>
        <w:spacing w:lineRule="auto" w:line="288" w:before="0" w:after="120"/>
        <w:jc w:val="left"/>
        <w:rPr>
          <w:rFonts w:ascii="Times New Roman;serif" w:hAnsi="Times New Roman;serif"/>
          <w:b/>
          <w:color w:val="000000"/>
          <w:sz w:val="24"/>
          <w:u w:val="single"/>
        </w:rPr>
      </w:pPr>
      <w:r>
        <w:rPr>
          <w:rFonts w:ascii="Times New Roman;serif" w:hAnsi="Times New Roman;serif"/>
          <w:b/>
          <w:color w:val="000000"/>
          <w:sz w:val="24"/>
          <w:u w:val="single"/>
        </w:rPr>
        <w:t>Investor Contact</w:t>
      </w:r>
    </w:p>
    <w:tbl>
      <w:tblPr>
        <w:tblW w:w="3655" w:type="dxa"/>
        <w:jc w:val="left"/>
        <w:tblInd w:w="0" w:type="dxa"/>
        <w:tblLayout w:type="fixed"/>
        <w:tblCellMar>
          <w:top w:w="28" w:type="dxa"/>
          <w:left w:w="28" w:type="dxa"/>
          <w:bottom w:w="28" w:type="dxa"/>
          <w:right w:w="28" w:type="dxa"/>
        </w:tblCellMar>
      </w:tblPr>
      <w:tblGrid>
        <w:gridCol w:w="1360"/>
        <w:gridCol w:w="947"/>
        <w:gridCol w:w="1348"/>
      </w:tblGrid>
      <w:tr>
        <w:trPr/>
        <w:tc>
          <w:tcPr>
            <w:tcW w:w="136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r>
      <w:tr>
        <w:trPr/>
        <w:tc>
          <w:tcPr>
            <w:tcW w:w="3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Bob Okunski</w:t>
            </w:r>
          </w:p>
        </w:tc>
      </w:tr>
      <w:tr>
        <w:trPr/>
        <w:tc>
          <w:tcPr>
            <w:tcW w:w="3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Vice President, Investor Relations</w:t>
            </w:r>
          </w:p>
        </w:tc>
      </w:tr>
      <w:tr>
        <w:trPr/>
        <w:tc>
          <w:tcPr>
            <w:tcW w:w="365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FF"/>
                <w:sz w:val="24"/>
                <w:u w:val="single"/>
              </w:rPr>
            </w:pPr>
            <w:r>
              <w:rPr>
                <w:rFonts w:ascii="Times New Roman;serif" w:hAnsi="Times New Roman;serif"/>
                <w:b w:val="false"/>
                <w:color w:val="0000FF"/>
                <w:sz w:val="24"/>
                <w:u w:val="single"/>
              </w:rPr>
              <w:t>investor.relations@optioncare.com</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000000"/>
          <w:sz w:val="24"/>
          <w:u w:val="single"/>
        </w:rPr>
      </w:pPr>
      <w:r>
        <w:rPr>
          <w:rFonts w:ascii="Times New Roman;serif" w:hAnsi="Times New Roman;serif"/>
          <w:b/>
          <w:color w:val="000000"/>
          <w:sz w:val="24"/>
          <w:u w:val="single"/>
        </w:rPr>
        <w:t>Forward-Looking Statements - Safe Harbor</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This press release contains “forward-looking statements” within the meaning of the safe harbor provisions of the U.S. Private Securities Litigation Reform Act of 1995. Forward-looking statements can be identified by words such as: “anticipate,” “intend,” “plan,” “believe,” “project,” “estimate,” “expect,” “may,” “should,” “will” and similar references to future periods. Examples of forward-looking statements include, among others, statements the Company may make regarding future revenues, future earnings, other future financial results, regulatory developments, market developments, new products and growth strategies and the effects of any of the foregoing on its future results of operations or financial condition.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Forward-looking statements are neither historical facts nor assurances of future performance. Instead, they are based only on the Company's current beliefs, expectations and assumptions regarding the future of its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the Company's control. The Company's actual results and financial condition may differ materially from those indicated in the forward-looking statements. Important factors that could cause the Company's actual results and financial condition to differ materially from those indicated in the forward-looking statements include, among others, the following: changes in laws, regulations or trade policies applicable to its business model; loss of relationships with managed care organizations and other non-governmental third party payers; changes in the pharmaceutical industry, including limiting or discontinuing research, development, production and marketing of pharmaceuticals compatible with its services; changes in market conditions and receptivity to its services and offerings; and pending and future litigation or potential liability for claims not covered by insurance. For a detailed discussion of the risk factors that could affect its actual results, please refer to the risk factors identified in the Company's SEC reports as filed with the SEC.</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Any forward-looking statement made by the Company in this press release is based only on information currently available to it and speaks only as of the date on which it is made. The Company undertakes no obligation to publicly update any forward-looking statement, whether written or oral, that may be made from time to time, whether as a result of new information, future developments or otherwise.</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jc w:val="left"/>
        <w:rPr>
          <w:rFonts w:ascii="Times New Roman;serif" w:hAnsi="Times New Roman;serif"/>
          <w:b/>
          <w:color w:val="000000"/>
          <w:sz w:val="24"/>
          <w:u w:val="single"/>
        </w:rPr>
      </w:pPr>
      <w:r>
        <w:rPr>
          <w:rFonts w:ascii="Times New Roman;serif" w:hAnsi="Times New Roman;serif"/>
          <w:b/>
          <w:color w:val="000000"/>
          <w:sz w:val="24"/>
          <w:u w:val="single"/>
        </w:rPr>
        <w:t>Note Regarding Use of Non-GAAP Financial Measures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In addition to reporting financial information in accordance with generally accepted accounting principles (GAAP), the Company is also reporting Adjusted net income, Adjusted EBITDA and Adjusted diluted earnings per share ("EPS"), which are non-GAAP financial measures. These adjusted measures are not measurements of financial performance under GAAP and should not be used in isolation or as a substitute or alternative to net income, EPS, or any other performance measure derived in accordance with GAAP, or as a substitute or alternative to cash flow from operating activities or a measure of the Company’s liquidity. In addition, the Company's definitions of Adjusted net income, Adjusted EBITDA, and Adjusted diluted EPS may not be comparable to similarly titled non-GAAP financial measures reported by other companies. As defined by the Company: (i) Adjusted net income represents net income before intangible asset amortization expense, stock-based compensation expense, loss on extinguishment of debt, and restructuring, acquisition, integration and other expenses, net of tax adjustments, (ii) Adjusted EBITDA represents net income before net interest expense, income tax expense, depreciation and amortization, stock-based compensation expense, loss on extinguishment of debt, and restructuring, acquisition, integration and other expenses, and (iii) Adjusted diluted EPS represents Adjusted net income divided by weighted average common shares outstanding, diluted. As part of restructuring, acquisition, integration and other expenses, the Company may incur significant charges such as the write down of certain long</w:t>
        <w:noBreakHyphen/>
        <w:t>lived assets, temporary redundant expenses, professional fees, certain litigation expenses and reserves related to acquired businesses, potential retention and severance costs and potential accelerated payments or termination costs for certain of its contractual obligations. Management believes that these adjusted measures provide useful supplemental information regarding the performance of Option Care Health’s business operations and facilitate comparisons to the Company’s historical operating results. The Company has not reconciled Adjusted EBITDA guidance to net income or Adjusted diluted EPS guidance to GAAP diluted EPS as management believes creation of this reconciliation would not be practicable due to the uncertainty regarding, and potential variability of, material reconciling items. Full reconciliations of each historical adjusted measure to the most comparable GAAP financial measure are set forth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Schedule 1</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OPTION CARE HEALTH,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627" w:type="dxa"/>
        <w:jc w:val="center"/>
        <w:tblInd w:w="0" w:type="dxa"/>
        <w:tblLayout w:type="fixed"/>
        <w:tblCellMar>
          <w:top w:w="28" w:type="dxa"/>
          <w:left w:w="28" w:type="dxa"/>
          <w:bottom w:w="28" w:type="dxa"/>
          <w:right w:w="28" w:type="dxa"/>
        </w:tblCellMar>
      </w:tblPr>
      <w:tblGrid>
        <w:gridCol w:w="2005"/>
        <w:gridCol w:w="1758"/>
        <w:gridCol w:w="1772"/>
        <w:gridCol w:w="196"/>
        <w:gridCol w:w="871"/>
        <w:gridCol w:w="109"/>
        <w:gridCol w:w="109"/>
        <w:gridCol w:w="109"/>
        <w:gridCol w:w="109"/>
        <w:gridCol w:w="255"/>
        <w:gridCol w:w="1134"/>
        <w:gridCol w:w="200"/>
      </w:tblGrid>
      <w:tr>
        <w:trPr/>
        <w:tc>
          <w:tcPr>
            <w:tcW w:w="2005"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232,624 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473,566 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471,149 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87,629 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1,200,592 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1,264,968 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NONCURRENT ASSETS: </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139,236 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21,897 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Referral sources,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287,281 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1,606,743 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1,606,743 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135,644 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noncurrent assets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2,178,185 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2,190,801 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ASSETS </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3,378,777 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3,455,769 </w:t>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AND STOCKHOLDERS’ EQUITY</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639,829 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189,519 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819,477 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829,348 </w:t>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 of discount, deferred financing costs and current portion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1,152,040 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1,154,052 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145,976 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noncurrent liabilities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1,299,402 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1,300,028 </w:t>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2,118,879 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2,129,376 </w:t>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1,326,393 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EQUITY</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3,378,777 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3,455,769 </w:t>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Schedule 2</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OPTION CARE HEALTH, INC.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EARNINGS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 EXCEPT PER SHARE AMOUNTS)(UNAUDITED)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704" w:type="dxa"/>
        <w:jc w:val="center"/>
        <w:tblInd w:w="0" w:type="dxa"/>
        <w:tblLayout w:type="fixed"/>
        <w:tblCellMar>
          <w:top w:w="28" w:type="dxa"/>
          <w:left w:w="28" w:type="dxa"/>
          <w:bottom w:w="28" w:type="dxa"/>
          <w:right w:w="28" w:type="dxa"/>
        </w:tblCellMar>
      </w:tblPr>
      <w:tblGrid>
        <w:gridCol w:w="1440"/>
        <w:gridCol w:w="1266"/>
        <w:gridCol w:w="1268"/>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144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REVENUE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1,442,400 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1,416,085 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2,793,054 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2,749,057 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2,263,789 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2,216,962 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267,251 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269,043 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529,265 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532,095 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COSTS AND EXPENSES: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acquisition, integration and 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182,111 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186,333 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371,580 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370,197 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157,685 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161,898 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(expense) income</w:t>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(11,153)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(13,849)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(29,481)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132,417 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97,265 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 basic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 diluted</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0.31 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0.59 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basic</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diluted</w:t>
            </w:r>
          </w:p>
        </w:tc>
        <w:tc>
          <w:tcPr>
            <w:tcW w:w="106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153,485 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164,133 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155,772 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165,402 </w:t>
            </w:r>
          </w:p>
        </w:tc>
        <w:tc>
          <w:tcPr>
            <w:tcW w:w="154"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Schedule 3</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OPTION CARE HEALTH,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8243" w:type="dxa"/>
        <w:jc w:val="center"/>
        <w:tblInd w:w="0" w:type="dxa"/>
        <w:tblLayout w:type="fixed"/>
        <w:tblCellMar>
          <w:top w:w="28" w:type="dxa"/>
          <w:left w:w="28" w:type="dxa"/>
          <w:bottom w:w="28" w:type="dxa"/>
          <w:right w:w="28" w:type="dxa"/>
        </w:tblCellMar>
      </w:tblPr>
      <w:tblGrid>
        <w:gridCol w:w="2099"/>
        <w:gridCol w:w="1843"/>
        <w:gridCol w:w="1847"/>
        <w:gridCol w:w="196"/>
        <w:gridCol w:w="736"/>
        <w:gridCol w:w="109"/>
        <w:gridCol w:w="109"/>
        <w:gridCol w:w="109"/>
        <w:gridCol w:w="109"/>
        <w:gridCol w:w="196"/>
        <w:gridCol w:w="736"/>
        <w:gridCol w:w="154"/>
      </w:tblGrid>
      <w:tr>
        <w:trPr/>
        <w:tc>
          <w:tcPr>
            <w:tcW w:w="2099"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adjustments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employee benefits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83,119 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acquisitions, net of cash acquired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(135,713)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company stock and related excise taxes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(170,545)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(152,429)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(189,342)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(161,153)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INCREASE IN CASH AND CASH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(213,747)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 beginning of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 END OF PERIOD</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198,818 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right"/>
        <w:rPr>
          <w:rFonts w:ascii="Times New Roman;serif" w:hAnsi="Times New Roman;serif"/>
          <w:b w:val="false"/>
          <w:color w:val="000000"/>
          <w:sz w:val="20"/>
        </w:rPr>
      </w:pPr>
      <w:r>
        <w:rPr>
          <w:rFonts w:ascii="Times New Roman;serif" w:hAnsi="Times New Roman;serif"/>
          <w:b w:val="false"/>
          <w:color w:val="000000"/>
          <w:sz w:val="20"/>
        </w:rPr>
        <w:t>Schedule 4</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OPTION CARE HEALTH, INC.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QUARTERLY RECONCILIATION BETWEEN GAAP AND NON-GAAP MEASURES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 THOUSANDS, EXCEPT PER SHARE AMOUNTS)(UNAUDITED)</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197" w:type="dxa"/>
        <w:jc w:val="center"/>
        <w:tblInd w:w="0" w:type="dxa"/>
        <w:tblLayout w:type="fixed"/>
        <w:tblCellMar>
          <w:top w:w="28" w:type="dxa"/>
          <w:left w:w="28" w:type="dxa"/>
          <w:bottom w:w="28" w:type="dxa"/>
          <w:right w:w="28" w:type="dxa"/>
        </w:tblCellMar>
      </w:tblPr>
      <w:tblGrid>
        <w:gridCol w:w="1434"/>
        <w:gridCol w:w="1265"/>
        <w:gridCol w:w="1275"/>
        <w:gridCol w:w="199"/>
        <w:gridCol w:w="747"/>
        <w:gridCol w:w="110"/>
        <w:gridCol w:w="110"/>
        <w:gridCol w:w="110"/>
        <w:gridCol w:w="110"/>
        <w:gridCol w:w="199"/>
        <w:gridCol w:w="747"/>
        <w:gridCol w:w="110"/>
        <w:gridCol w:w="109"/>
        <w:gridCol w:w="109"/>
        <w:gridCol w:w="109"/>
        <w:gridCol w:w="196"/>
        <w:gridCol w:w="736"/>
        <w:gridCol w:w="109"/>
        <w:gridCol w:w="109"/>
        <w:gridCol w:w="109"/>
        <w:gridCol w:w="109"/>
        <w:gridCol w:w="196"/>
        <w:gridCol w:w="736"/>
        <w:gridCol w:w="154"/>
      </w:tblGrid>
      <w:tr>
        <w:trPr/>
        <w:tc>
          <w:tcPr>
            <w:tcW w:w="1434"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53,913 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50,523 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97,265 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14,447 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20,074 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18,338 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expense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w:t>
            </w:r>
          </w:p>
        </w:tc>
        <w:tc>
          <w:tcPr>
            <w:tcW w:w="9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106,389 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100,261 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196,351 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193,421 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EBITDA adjustments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incentive compensation expense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acquisition, integration and other (1)</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117,482 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114,018 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222,252 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225,784 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53,913 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50,523 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 amortization expense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incentive compensation expense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acquisition, integration and other (1)</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pre-tax adjustments</w:t>
            </w:r>
          </w:p>
        </w:tc>
        <w:tc>
          <w:tcPr>
            <w:tcW w:w="9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20,362 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23,054 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50,757 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adjustments (2)</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net income</w:t>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68,686 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67,468 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131,919 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134,571 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share, diluted</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earnings per share, diluted</w:t>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common shares outstanding, diluted</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153,485 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164,133 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(1) Restructuring, acquisition, integration and other includes $3,549 and $8,156 of operating expenses for the three and six months ended June 30, 2026, respectively. Restructuring, acquisition, integration and other includes $2,625 and $7,935 of operating expenses for the three and six months ended June 30, 2025, respectively.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(2) Tax adjustments for the three and six months ended June 30, 2026 and 2025 includes the estimated income tax effect on non-GAAP adjustments based on the effective tax rate.</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2532</Words>
  <Characters>14987</Characters>
  <CharactersWithSpaces>17220</CharactersWithSpaces>
  <Paragraphs>504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