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345440</wp:posOffset>
            </wp:positionH>
            <wp:positionV relativeFrom="page">
              <wp:posOffset>431800</wp:posOffset>
            </wp:positionV>
            <wp:extent cx="686625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6255" cy="4318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140"/>
        <w:spacing w:after="0"/>
        <w:rPr>
          <w:sz w:val="20"/>
          <w:szCs w:val="20"/>
          <w:color w:val="auto"/>
        </w:rPr>
      </w:pPr>
      <w:r>
        <w:rPr>
          <w:rFonts w:ascii="Arial" w:cs="Arial" w:eastAsia="Arial" w:hAnsi="Arial"/>
          <w:sz w:val="16"/>
          <w:szCs w:val="16"/>
          <w:b w:val="1"/>
          <w:bCs w:val="1"/>
          <w:color w:val="auto"/>
        </w:rPr>
        <w:t>(Mark One)</w:t>
      </w:r>
    </w:p>
    <w:p>
      <w:pPr>
        <w:spacing w:after="0" w:line="32" w:lineRule="exact"/>
        <w:rPr>
          <w:sz w:val="24"/>
          <w:szCs w:val="24"/>
          <w:color w:val="auto"/>
        </w:rPr>
      </w:pPr>
    </w:p>
    <w:p>
      <w:pPr>
        <w:ind w:left="1100" w:right="1900" w:hanging="626"/>
        <w:spacing w:after="0" w:line="281" w:lineRule="auto"/>
        <w:tabs>
          <w:tab w:leader="none" w:pos="11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2023</w:t>
      </w:r>
    </w:p>
    <w:p>
      <w:pPr>
        <w:spacing w:after="0" w:line="1" w:lineRule="exact"/>
        <w:rPr>
          <w:sz w:val="24"/>
          <w:szCs w:val="24"/>
          <w:color w:val="auto"/>
        </w:rPr>
      </w:pPr>
    </w:p>
    <w:p>
      <w:pPr>
        <w:jc w:val="center"/>
        <w:ind w:left="520"/>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ind w:left="1100" w:hanging="626"/>
        <w:spacing w:after="0"/>
        <w:tabs>
          <w:tab w:leader="none" w:pos="11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50" w:lineRule="exact"/>
        <w:rPr>
          <w:sz w:val="24"/>
          <w:szCs w:val="24"/>
          <w:color w:val="auto"/>
        </w:rPr>
      </w:pPr>
    </w:p>
    <w:p>
      <w:pPr>
        <w:ind w:left="1100"/>
        <w:spacing w:after="0"/>
        <w:tabs>
          <w:tab w:leader="none" w:pos="33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001-11993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20320</wp:posOffset>
            </wp:positionV>
            <wp:extent cx="1714500" cy="69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OPTION CARE HEALTH, INC.</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30" w:lineRule="exact"/>
        <w:rPr>
          <w:sz w:val="24"/>
          <w:szCs w:val="24"/>
          <w:color w:val="auto"/>
        </w:rPr>
      </w:pPr>
    </w:p>
    <w:tbl>
      <w:tblPr>
        <w:tblLayout w:type="fixed"/>
        <w:tblInd w:w="3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2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380" w:type="dxa"/>
            <w:vAlign w:val="bottom"/>
          </w:tcPr>
          <w:p>
            <w:pPr>
              <w:jc w:val="right"/>
              <w:ind w:right="2099"/>
              <w:spacing w:after="0"/>
              <w:rPr>
                <w:sz w:val="20"/>
                <w:szCs w:val="20"/>
                <w:color w:val="auto"/>
              </w:rPr>
            </w:pPr>
            <w:r>
              <w:rPr>
                <w:rFonts w:ascii="Arial" w:cs="Arial" w:eastAsia="Arial" w:hAnsi="Arial"/>
                <w:sz w:val="16"/>
                <w:szCs w:val="16"/>
                <w:b w:val="1"/>
                <w:bCs w:val="1"/>
                <w:color w:val="auto"/>
              </w:rPr>
              <w:t>05-0489664</w:t>
            </w:r>
          </w:p>
        </w:tc>
      </w:tr>
      <w:tr>
        <w:trPr>
          <w:trHeight w:val="216"/>
        </w:trPr>
        <w:tc>
          <w:tcPr>
            <w:tcW w:w="6320" w:type="dxa"/>
            <w:vAlign w:val="bottom"/>
            <w:gridSpan w:val="3"/>
          </w:tcPr>
          <w:p>
            <w:pPr>
              <w:jc w:val="center"/>
              <w:ind w:left="179"/>
              <w:spacing w:after="0"/>
              <w:rPr>
                <w:sz w:val="20"/>
                <w:szCs w:val="20"/>
                <w:color w:val="auto"/>
              </w:rPr>
            </w:pPr>
            <w:r>
              <w:rPr>
                <w:rFonts w:ascii="Arial" w:cs="Arial" w:eastAsia="Arial" w:hAnsi="Arial"/>
                <w:sz w:val="16"/>
                <w:szCs w:val="16"/>
                <w:i w:val="1"/>
                <w:iCs w:val="1"/>
                <w:color w:val="auto"/>
                <w:w w:val="94"/>
              </w:rPr>
              <w:t>(State of incorporation)</w:t>
            </w:r>
          </w:p>
        </w:tc>
        <w:tc>
          <w:tcPr>
            <w:tcW w:w="4900" w:type="dxa"/>
            <w:vAlign w:val="bottom"/>
            <w:gridSpan w:val="2"/>
          </w:tcPr>
          <w:p>
            <w:pPr>
              <w:jc w:val="center"/>
              <w:ind w:right="179"/>
              <w:spacing w:after="0"/>
              <w:rPr>
                <w:sz w:val="20"/>
                <w:szCs w:val="20"/>
                <w:color w:val="auto"/>
              </w:rPr>
            </w:pPr>
            <w:r>
              <w:rPr>
                <w:rFonts w:ascii="Arial" w:cs="Arial" w:eastAsia="Arial" w:hAnsi="Arial"/>
                <w:sz w:val="16"/>
                <w:szCs w:val="16"/>
                <w:i w:val="1"/>
                <w:iCs w:val="1"/>
                <w:color w:val="auto"/>
                <w:w w:val="94"/>
              </w:rPr>
              <w:t>(I.R.S. Employer Identification No.)</w:t>
            </w:r>
          </w:p>
        </w:tc>
      </w:tr>
      <w:tr>
        <w:trPr>
          <w:trHeight w:val="216"/>
        </w:trPr>
        <w:tc>
          <w:tcPr>
            <w:tcW w:w="2700" w:type="dxa"/>
            <w:vAlign w:val="bottom"/>
          </w:tcPr>
          <w:p>
            <w:pPr>
              <w:ind w:left="1320"/>
              <w:spacing w:after="0"/>
              <w:rPr>
                <w:sz w:val="20"/>
                <w:szCs w:val="20"/>
                <w:color w:val="auto"/>
              </w:rPr>
            </w:pPr>
            <w:r>
              <w:rPr>
                <w:rFonts w:ascii="Arial" w:cs="Arial" w:eastAsia="Arial" w:hAnsi="Arial"/>
                <w:sz w:val="16"/>
                <w:szCs w:val="16"/>
                <w:b w:val="1"/>
                <w:bCs w:val="1"/>
                <w:color w:val="auto"/>
              </w:rPr>
              <w:t>3000 Lakeside Dr.</w:t>
            </w:r>
          </w:p>
        </w:tc>
        <w:tc>
          <w:tcPr>
            <w:tcW w:w="1080" w:type="dxa"/>
            <w:vAlign w:val="bottom"/>
          </w:tcPr>
          <w:p>
            <w:pPr>
              <w:ind w:left="120"/>
              <w:spacing w:after="0"/>
              <w:rPr>
                <w:sz w:val="20"/>
                <w:szCs w:val="20"/>
                <w:color w:val="auto"/>
              </w:rPr>
            </w:pPr>
            <w:r>
              <w:rPr>
                <w:rFonts w:ascii="Arial" w:cs="Arial" w:eastAsia="Arial" w:hAnsi="Arial"/>
                <w:sz w:val="16"/>
                <w:szCs w:val="16"/>
                <w:b w:val="1"/>
                <w:bCs w:val="1"/>
                <w:color w:val="auto"/>
              </w:rPr>
              <w:t>Suite 300N,</w:t>
            </w:r>
          </w:p>
        </w:tc>
        <w:tc>
          <w:tcPr>
            <w:tcW w:w="2540" w:type="dxa"/>
            <w:vAlign w:val="bottom"/>
          </w:tcPr>
          <w:p>
            <w:pPr>
              <w:ind w:left="120"/>
              <w:spacing w:after="0"/>
              <w:rPr>
                <w:sz w:val="20"/>
                <w:szCs w:val="20"/>
                <w:color w:val="auto"/>
              </w:rPr>
            </w:pPr>
            <w:r>
              <w:rPr>
                <w:rFonts w:ascii="Arial" w:cs="Arial" w:eastAsia="Arial" w:hAnsi="Arial"/>
                <w:sz w:val="16"/>
                <w:szCs w:val="16"/>
                <w:b w:val="1"/>
                <w:bCs w:val="1"/>
                <w:color w:val="auto"/>
              </w:rPr>
              <w:t>Bannockburn,   IL</w:t>
            </w:r>
          </w:p>
        </w:tc>
        <w:tc>
          <w:tcPr>
            <w:tcW w:w="1520" w:type="dxa"/>
            <w:vAlign w:val="bottom"/>
          </w:tcPr>
          <w:p>
            <w:pPr>
              <w:spacing w:after="0"/>
              <w:rPr>
                <w:sz w:val="18"/>
                <w:szCs w:val="18"/>
                <w:color w:val="auto"/>
              </w:rPr>
            </w:pPr>
          </w:p>
        </w:tc>
        <w:tc>
          <w:tcPr>
            <w:tcW w:w="3380" w:type="dxa"/>
            <w:vAlign w:val="bottom"/>
          </w:tcPr>
          <w:p>
            <w:pPr>
              <w:jc w:val="right"/>
              <w:ind w:right="2299"/>
              <w:spacing w:after="0"/>
              <w:rPr>
                <w:sz w:val="20"/>
                <w:szCs w:val="20"/>
                <w:color w:val="auto"/>
              </w:rPr>
            </w:pPr>
            <w:r>
              <w:rPr>
                <w:rFonts w:ascii="Arial" w:cs="Arial" w:eastAsia="Arial" w:hAnsi="Arial"/>
                <w:sz w:val="16"/>
                <w:szCs w:val="16"/>
                <w:b w:val="1"/>
                <w:bCs w:val="1"/>
                <w:color w:val="auto"/>
              </w:rPr>
              <w:t>60015</w:t>
            </w:r>
          </w:p>
        </w:tc>
      </w:tr>
      <w:tr>
        <w:trPr>
          <w:trHeight w:val="216"/>
        </w:trPr>
        <w:tc>
          <w:tcPr>
            <w:tcW w:w="6320" w:type="dxa"/>
            <w:vAlign w:val="bottom"/>
            <w:gridSpan w:val="3"/>
          </w:tcPr>
          <w:p>
            <w:pPr>
              <w:jc w:val="center"/>
              <w:ind w:left="159"/>
              <w:spacing w:after="0"/>
              <w:rPr>
                <w:sz w:val="20"/>
                <w:szCs w:val="20"/>
                <w:color w:val="auto"/>
              </w:rPr>
            </w:pPr>
            <w:r>
              <w:rPr>
                <w:rFonts w:ascii="Arial" w:cs="Arial" w:eastAsia="Arial" w:hAnsi="Arial"/>
                <w:sz w:val="16"/>
                <w:szCs w:val="16"/>
                <w:i w:val="1"/>
                <w:iCs w:val="1"/>
                <w:color w:val="auto"/>
                <w:w w:val="91"/>
              </w:rPr>
              <w:t>(Address of principal executive offices)</w:t>
            </w:r>
          </w:p>
        </w:tc>
        <w:tc>
          <w:tcPr>
            <w:tcW w:w="1520" w:type="dxa"/>
            <w:vAlign w:val="bottom"/>
          </w:tcPr>
          <w:p>
            <w:pPr>
              <w:spacing w:after="0"/>
              <w:rPr>
                <w:sz w:val="18"/>
                <w:szCs w:val="18"/>
                <w:color w:val="auto"/>
              </w:rPr>
            </w:pPr>
          </w:p>
        </w:tc>
        <w:tc>
          <w:tcPr>
            <w:tcW w:w="3380" w:type="dxa"/>
            <w:vAlign w:val="bottom"/>
          </w:tcPr>
          <w:p>
            <w:pPr>
              <w:jc w:val="center"/>
              <w:ind w:right="1699"/>
              <w:spacing w:after="0"/>
              <w:rPr>
                <w:sz w:val="20"/>
                <w:szCs w:val="20"/>
                <w:color w:val="auto"/>
              </w:rPr>
            </w:pPr>
            <w:r>
              <w:rPr>
                <w:rFonts w:ascii="Arial" w:cs="Arial" w:eastAsia="Arial" w:hAnsi="Arial"/>
                <w:sz w:val="16"/>
                <w:szCs w:val="16"/>
                <w:i w:val="1"/>
                <w:iCs w:val="1"/>
                <w:color w:val="auto"/>
                <w:w w:val="95"/>
              </w:rPr>
              <w:t>(Zip Code)</w:t>
            </w:r>
          </w:p>
        </w:tc>
      </w:tr>
      <w:tr>
        <w:trPr>
          <w:trHeight w:val="276"/>
        </w:trPr>
        <w:tc>
          <w:tcPr>
            <w:tcW w:w="2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60" w:type="dxa"/>
            <w:vAlign w:val="bottom"/>
            <w:gridSpan w:val="2"/>
          </w:tcPr>
          <w:p>
            <w:pPr>
              <w:ind w:left="20"/>
              <w:spacing w:after="0"/>
              <w:rPr>
                <w:sz w:val="20"/>
                <w:szCs w:val="20"/>
                <w:color w:val="auto"/>
              </w:rPr>
            </w:pPr>
            <w:r>
              <w:rPr>
                <w:rFonts w:ascii="Arial" w:cs="Arial" w:eastAsia="Arial" w:hAnsi="Arial"/>
                <w:sz w:val="16"/>
                <w:szCs w:val="16"/>
                <w:b w:val="1"/>
                <w:bCs w:val="1"/>
                <w:color w:val="auto"/>
                <w:w w:val="99"/>
              </w:rPr>
              <w:t>Registrant’s telephone number, including area code:</w:t>
            </w:r>
          </w:p>
        </w:tc>
        <w:tc>
          <w:tcPr>
            <w:tcW w:w="3380" w:type="dxa"/>
            <w:vAlign w:val="bottom"/>
          </w:tcPr>
          <w:p>
            <w:pPr>
              <w:spacing w:after="0"/>
              <w:rPr>
                <w:sz w:val="23"/>
                <w:szCs w:val="23"/>
                <w:color w:val="auto"/>
              </w:rPr>
            </w:pPr>
          </w:p>
        </w:tc>
      </w:tr>
      <w:tr>
        <w:trPr>
          <w:trHeight w:val="210"/>
        </w:trPr>
        <w:tc>
          <w:tcPr>
            <w:tcW w:w="2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40" w:type="dxa"/>
            <w:vAlign w:val="bottom"/>
          </w:tcPr>
          <w:p>
            <w:pPr>
              <w:jc w:val="right"/>
              <w:ind w:right="179"/>
              <w:spacing w:after="0"/>
              <w:rPr>
                <w:sz w:val="20"/>
                <w:szCs w:val="20"/>
                <w:color w:val="auto"/>
              </w:rPr>
            </w:pPr>
            <w:r>
              <w:rPr>
                <w:rFonts w:ascii="Arial" w:cs="Arial" w:eastAsia="Arial" w:hAnsi="Arial"/>
                <w:sz w:val="16"/>
                <w:szCs w:val="16"/>
                <w:b w:val="1"/>
                <w:bCs w:val="1"/>
                <w:color w:val="auto"/>
              </w:rPr>
              <w:t>312-940-2443</w:t>
            </w:r>
          </w:p>
        </w:tc>
        <w:tc>
          <w:tcPr>
            <w:tcW w:w="15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29"/>
        </w:trPr>
        <w:tc>
          <w:tcPr>
            <w:tcW w:w="2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60" w:type="dxa"/>
            <w:vAlign w:val="bottom"/>
            <w:gridSpan w:val="2"/>
          </w:tcPr>
          <w:p>
            <w:pPr>
              <w:ind w:left="40"/>
              <w:spacing w:after="0"/>
              <w:rPr>
                <w:sz w:val="20"/>
                <w:szCs w:val="20"/>
                <w:color w:val="auto"/>
              </w:rPr>
            </w:pPr>
            <w:r>
              <w:rPr>
                <w:rFonts w:ascii="Arial" w:cs="Arial" w:eastAsia="Arial" w:hAnsi="Arial"/>
                <w:sz w:val="16"/>
                <w:szCs w:val="16"/>
                <w:color w:val="auto"/>
                <w:w w:val="97"/>
              </w:rPr>
              <w:t>Securities registered pursuant to Section 12(b) of the Act:</w:t>
            </w:r>
          </w:p>
        </w:tc>
        <w:tc>
          <w:tcPr>
            <w:tcW w:w="3380" w:type="dxa"/>
            <w:vAlign w:val="bottom"/>
          </w:tcPr>
          <w:p>
            <w:pPr>
              <w:spacing w:after="0"/>
              <w:rPr>
                <w:sz w:val="19"/>
                <w:szCs w:val="19"/>
                <w:color w:val="auto"/>
              </w:rPr>
            </w:pPr>
          </w:p>
        </w:tc>
      </w:tr>
      <w:tr>
        <w:trPr>
          <w:trHeight w:val="168"/>
        </w:trPr>
        <w:tc>
          <w:tcPr>
            <w:tcW w:w="3780" w:type="dxa"/>
            <w:vAlign w:val="bottom"/>
            <w:tcBorders>
              <w:bottom w:val="single" w:sz="8" w:color="auto"/>
            </w:tcBorders>
            <w:gridSpan w:val="2"/>
          </w:tcPr>
          <w:p>
            <w:pPr>
              <w:spacing w:after="0"/>
              <w:rPr>
                <w:sz w:val="14"/>
                <w:szCs w:val="14"/>
                <w:color w:val="auto"/>
              </w:rPr>
            </w:pPr>
          </w:p>
        </w:tc>
        <w:tc>
          <w:tcPr>
            <w:tcW w:w="2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tcPr>
          <w:p>
            <w:pPr>
              <w:spacing w:after="0"/>
              <w:rPr>
                <w:sz w:val="14"/>
                <w:szCs w:val="14"/>
                <w:color w:val="auto"/>
              </w:rPr>
            </w:pPr>
          </w:p>
        </w:tc>
      </w:tr>
      <w:tr>
        <w:trPr>
          <w:trHeight w:val="206"/>
        </w:trPr>
        <w:tc>
          <w:tcPr>
            <w:tcW w:w="3780" w:type="dxa"/>
            <w:vAlign w:val="bottom"/>
            <w:tcBorders>
              <w:left w:val="single" w:sz="8" w:color="auto"/>
              <w:bottom w:val="single" w:sz="8" w:color="auto"/>
            </w:tcBorders>
            <w:gridSpan w:val="2"/>
          </w:tcPr>
          <w:p>
            <w:pPr>
              <w:jc w:val="center"/>
              <w:ind w:left="2459"/>
              <w:spacing w:after="0"/>
              <w:rPr>
                <w:sz w:val="20"/>
                <w:szCs w:val="20"/>
                <w:color w:val="auto"/>
              </w:rPr>
            </w:pPr>
            <w:r>
              <w:rPr>
                <w:rFonts w:ascii="Arial" w:cs="Arial" w:eastAsia="Arial" w:hAnsi="Arial"/>
                <w:sz w:val="16"/>
                <w:szCs w:val="16"/>
                <w:color w:val="auto"/>
                <w:w w:val="91"/>
              </w:rPr>
              <w:t>Title of each Class</w:t>
            </w:r>
          </w:p>
        </w:tc>
        <w:tc>
          <w:tcPr>
            <w:tcW w:w="254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10"/>
        </w:trPr>
        <w:tc>
          <w:tcPr>
            <w:tcW w:w="63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91"/>
              </w:rPr>
              <w:t>Common Stock, $0.0001 par value per share</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OPCH</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Nasdaq Global Select Market</w:t>
            </w:r>
          </w:p>
        </w:tc>
      </w:tr>
    </w:tbl>
    <w:p>
      <w:pPr>
        <w:spacing w:after="0" w:line="71" w:lineRule="exact"/>
        <w:rPr>
          <w:sz w:val="24"/>
          <w:szCs w:val="24"/>
          <w:color w:val="auto"/>
        </w:rPr>
      </w:pPr>
    </w:p>
    <w:p>
      <w:pPr>
        <w:jc w:val="both"/>
        <w:ind w:firstLine="162"/>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0" w:lineRule="exact"/>
        <w:rPr>
          <w:sz w:val="24"/>
          <w:szCs w:val="24"/>
          <w:color w:val="auto"/>
        </w:rPr>
      </w:pPr>
    </w:p>
    <w:p>
      <w:pPr>
        <w:jc w:val="both"/>
        <w:ind w:firstLine="162"/>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0" w:lineRule="exact"/>
        <w:rPr>
          <w:sz w:val="24"/>
          <w:szCs w:val="24"/>
          <w:color w:val="auto"/>
        </w:rPr>
      </w:pPr>
    </w:p>
    <w:p>
      <w:pPr>
        <w:jc w:val="both"/>
        <w:ind w:firstLine="162"/>
        <w:spacing w:after="0" w:line="36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9" w:lineRule="exact"/>
        <w:rPr>
          <w:sz w:val="24"/>
          <w:szCs w:val="24"/>
          <w:color w:val="auto"/>
        </w:rPr>
      </w:pPr>
    </w:p>
    <w:p>
      <w:pPr>
        <w:jc w:val="center"/>
        <w:ind w:right="-159"/>
        <w:spacing w:after="0" w:line="184" w:lineRule="exact"/>
        <w:tabs>
          <w:tab w:leader="none" w:pos="180" w:val="left"/>
          <w:tab w:leader="none" w:pos="180" w:val="left"/>
          <w:tab w:leader="none" w:pos="2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288" w:lineRule="exact"/>
        <w:rPr>
          <w:sz w:val="24"/>
          <w:szCs w:val="24"/>
          <w:color w:val="auto"/>
        </w:rPr>
      </w:pPr>
    </w:p>
    <w:p>
      <w:pPr>
        <w:jc w:val="both"/>
        <w:ind w:firstLine="162"/>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1" w:lineRule="exact"/>
        <w:rPr>
          <w:sz w:val="24"/>
          <w:szCs w:val="24"/>
          <w:color w:val="auto"/>
        </w:rPr>
      </w:pPr>
    </w:p>
    <w:p>
      <w:pPr>
        <w:ind w:left="180"/>
        <w:spacing w:after="0" w:line="173" w:lineRule="exact"/>
        <w:tabs>
          <w:tab w:leader="none" w:pos="822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313" w:lineRule="exact"/>
        <w:rPr>
          <w:sz w:val="24"/>
          <w:szCs w:val="24"/>
          <w:color w:val="auto"/>
        </w:rPr>
      </w:pPr>
    </w:p>
    <w:p>
      <w:pPr>
        <w:ind w:left="180"/>
        <w:spacing w:after="0"/>
        <w:rPr>
          <w:sz w:val="20"/>
          <w:szCs w:val="20"/>
          <w:color w:val="auto"/>
        </w:rPr>
      </w:pPr>
      <w:r>
        <w:rPr>
          <w:rFonts w:ascii="Arial" w:cs="Arial" w:eastAsia="Arial" w:hAnsi="Arial"/>
          <w:sz w:val="16"/>
          <w:szCs w:val="16"/>
          <w:color w:val="auto"/>
        </w:rPr>
        <w:t>On October 23, 2023, there were 177,130,539 shares of the registrant’s Common Stock outstanding.</w:t>
      </w:r>
    </w:p>
    <w:p>
      <w:pPr>
        <w:sectPr>
          <w:pgSz w:w="11900" w:h="16838" w:orient="portrait"/>
          <w:cols w:equalWidth="0" w:num="1">
            <w:col w:w="11240"/>
          </w:cols>
          <w:pgMar w:left="320" w:top="832"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80" w:type="dxa"/>
            <w:vAlign w:val="bottom"/>
            <w:gridSpan w:val="7"/>
          </w:tcPr>
          <w:p>
            <w:pPr>
              <w:jc w:val="center"/>
              <w:ind w:right="1920"/>
              <w:spacing w:after="0"/>
              <w:rPr>
                <w:sz w:val="20"/>
                <w:szCs w:val="20"/>
                <w:color w:val="auto"/>
              </w:rPr>
            </w:pPr>
            <w:r>
              <w:rPr>
                <w:rFonts w:ascii="Arial" w:cs="Arial" w:eastAsia="Arial" w:hAnsi="Arial"/>
                <w:sz w:val="18"/>
                <w:szCs w:val="18"/>
                <w:b w:val="1"/>
                <w:bCs w:val="1"/>
                <w:color w:val="auto"/>
                <w:w w:val="98"/>
              </w:rPr>
              <w:t>TABLE OF CONTENTS</w:t>
            </w: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13"/>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80" w:type="dxa"/>
            <w:vAlign w:val="bottom"/>
            <w:gridSpan w:val="3"/>
          </w:tcPr>
          <w:p>
            <w:pPr>
              <w:jc w:val="center"/>
              <w:ind w:left="1439"/>
              <w:spacing w:after="0"/>
              <w:rPr>
                <w:sz w:val="20"/>
                <w:szCs w:val="20"/>
                <w:color w:val="auto"/>
              </w:rPr>
            </w:pPr>
            <w:r>
              <w:rPr>
                <w:rFonts w:ascii="Arial" w:cs="Arial" w:eastAsia="Arial" w:hAnsi="Arial"/>
                <w:sz w:val="16"/>
                <w:szCs w:val="16"/>
                <w:b w:val="1"/>
                <w:bCs w:val="1"/>
                <w:color w:val="auto"/>
                <w:w w:val="83"/>
              </w:rPr>
              <w:t>Page</w:t>
            </w:r>
          </w:p>
        </w:tc>
      </w:tr>
      <w:tr>
        <w:trPr>
          <w:trHeight w:val="210"/>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80" w:type="dxa"/>
            <w:vAlign w:val="bottom"/>
            <w:gridSpan w:val="3"/>
          </w:tcPr>
          <w:p>
            <w:pPr>
              <w:jc w:val="center"/>
              <w:ind w:left="1439"/>
              <w:spacing w:after="0"/>
              <w:rPr>
                <w:sz w:val="20"/>
                <w:szCs w:val="20"/>
                <w:color w:val="auto"/>
              </w:rPr>
            </w:pPr>
            <w:r>
              <w:rPr>
                <w:rFonts w:ascii="Arial" w:cs="Arial" w:eastAsia="Arial" w:hAnsi="Arial"/>
                <w:sz w:val="16"/>
                <w:szCs w:val="16"/>
                <w:b w:val="1"/>
                <w:bCs w:val="1"/>
                <w:color w:val="auto"/>
                <w:w w:val="92"/>
              </w:rPr>
              <w:t>Number</w:t>
            </w: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80" w:type="dxa"/>
            <w:vAlign w:val="bottom"/>
            <w:gridSpan w:val="7"/>
          </w:tcPr>
          <w:p>
            <w:pPr>
              <w:jc w:val="center"/>
              <w:ind w:right="1940"/>
              <w:spacing w:after="0"/>
              <w:rPr>
                <w:sz w:val="20"/>
                <w:szCs w:val="20"/>
                <w:color w:val="auto"/>
              </w:rPr>
            </w:pPr>
            <w:r>
              <w:rPr>
                <w:rFonts w:ascii="Arial" w:cs="Arial" w:eastAsia="Arial" w:hAnsi="Arial"/>
                <w:sz w:val="16"/>
                <w:szCs w:val="16"/>
                <w:b w:val="1"/>
                <w:bCs w:val="1"/>
                <w:color w:val="auto"/>
              </w:rPr>
              <w:t>PART I</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43"/>
        </w:trPr>
        <w:tc>
          <w:tcPr>
            <w:tcW w:w="158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7320" w:type="dxa"/>
            <w:vAlign w:val="bottom"/>
            <w:gridSpan w:val="14"/>
          </w:tcPr>
          <w:p>
            <w:pPr>
              <w:spacing w:after="0"/>
              <w:rPr>
                <w:sz w:val="20"/>
                <w:szCs w:val="20"/>
                <w:color w:val="auto"/>
              </w:rPr>
            </w:pPr>
            <w:r>
              <w:rPr>
                <w:rFonts w:ascii="Arial" w:cs="Arial" w:eastAsia="Arial" w:hAnsi="Arial"/>
                <w:sz w:val="16"/>
                <w:szCs w:val="16"/>
                <w:color w:val="0000FF"/>
              </w:rPr>
              <w:t>Financial Statements</w:t>
            </w:r>
          </w:p>
        </w:tc>
        <w:tc>
          <w:tcPr>
            <w:tcW w:w="1840" w:type="dxa"/>
            <w:vAlign w:val="bottom"/>
            <w:gridSpan w:val="2"/>
          </w:tcPr>
          <w:p>
            <w:pPr>
              <w:jc w:val="center"/>
              <w:ind w:left="1679"/>
              <w:spacing w:after="0"/>
              <w:rPr>
                <w:sz w:val="20"/>
                <w:szCs w:val="20"/>
                <w:color w:val="auto"/>
              </w:rPr>
            </w:pPr>
            <w:r>
              <w:rPr>
                <w:rFonts w:ascii="Arial" w:cs="Arial" w:eastAsia="Arial" w:hAnsi="Arial"/>
                <w:sz w:val="16"/>
                <w:szCs w:val="16"/>
                <w:color w:val="0000FF"/>
                <w:w w:val="89"/>
              </w:rPr>
              <w:t>4</w:t>
            </w:r>
          </w:p>
        </w:tc>
        <w:tc>
          <w:tcPr>
            <w:tcW w:w="24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gridSpan w:val="7"/>
          </w:tcPr>
          <w:p>
            <w:pPr>
              <w:spacing w:after="0"/>
              <w:rPr>
                <w:sz w:val="20"/>
                <w:szCs w:val="20"/>
                <w:color w:val="auto"/>
              </w:rPr>
            </w:pPr>
            <w:r>
              <w:rPr>
                <w:rFonts w:ascii="Arial" w:cs="Arial" w:eastAsia="Arial" w:hAnsi="Arial"/>
                <w:sz w:val="16"/>
                <w:szCs w:val="16"/>
                <w:color w:val="0000FF"/>
                <w:w w:val="88"/>
              </w:rPr>
              <w:t>Condensed Consolidated Balance Sheets</w:t>
            </w:r>
          </w:p>
        </w:tc>
        <w:tc>
          <w:tcPr>
            <w:tcW w:w="4680" w:type="dxa"/>
            <w:vAlign w:val="bottom"/>
            <w:gridSpan w:val="7"/>
          </w:tcPr>
          <w:p>
            <w:pPr>
              <w:spacing w:after="0"/>
              <w:rPr>
                <w:sz w:val="17"/>
                <w:szCs w:val="17"/>
                <w:color w:val="auto"/>
              </w:rPr>
            </w:pPr>
          </w:p>
        </w:tc>
        <w:tc>
          <w:tcPr>
            <w:tcW w:w="1840" w:type="dxa"/>
            <w:vAlign w:val="bottom"/>
            <w:gridSpan w:val="2"/>
          </w:tcPr>
          <w:p>
            <w:pPr>
              <w:jc w:val="center"/>
              <w:ind w:left="1679"/>
              <w:spacing w:after="0"/>
              <w:rPr>
                <w:sz w:val="20"/>
                <w:szCs w:val="20"/>
                <w:color w:val="auto"/>
              </w:rPr>
            </w:pPr>
            <w:r>
              <w:rPr>
                <w:rFonts w:ascii="Arial" w:cs="Arial" w:eastAsia="Arial" w:hAnsi="Arial"/>
                <w:sz w:val="16"/>
                <w:szCs w:val="16"/>
                <w:color w:val="0000FF"/>
                <w:w w:val="89"/>
              </w:rPr>
              <w:t>5</w:t>
            </w:r>
          </w:p>
        </w:tc>
        <w:tc>
          <w:tcPr>
            <w:tcW w:w="2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40" w:type="dxa"/>
            <w:vAlign w:val="bottom"/>
            <w:gridSpan w:val="12"/>
          </w:tcPr>
          <w:p>
            <w:pPr>
              <w:spacing w:after="0"/>
              <w:rPr>
                <w:sz w:val="20"/>
                <w:szCs w:val="20"/>
                <w:color w:val="auto"/>
              </w:rPr>
            </w:pPr>
            <w:r>
              <w:rPr>
                <w:rFonts w:ascii="Arial" w:cs="Arial" w:eastAsia="Arial" w:hAnsi="Arial"/>
                <w:sz w:val="16"/>
                <w:szCs w:val="16"/>
                <w:color w:val="0000FF"/>
                <w:w w:val="90"/>
              </w:rPr>
              <w:t>Unaudited Condensed Consolidated Statements of Comprehensive Income</w:t>
            </w:r>
          </w:p>
        </w:tc>
        <w:tc>
          <w:tcPr>
            <w:tcW w:w="2480" w:type="dxa"/>
            <w:vAlign w:val="bottom"/>
            <w:gridSpan w:val="2"/>
          </w:tcPr>
          <w:p>
            <w:pPr>
              <w:spacing w:after="0"/>
              <w:rPr>
                <w:sz w:val="17"/>
                <w:szCs w:val="17"/>
                <w:color w:val="auto"/>
              </w:rPr>
            </w:pPr>
          </w:p>
        </w:tc>
        <w:tc>
          <w:tcPr>
            <w:tcW w:w="1840" w:type="dxa"/>
            <w:vAlign w:val="bottom"/>
            <w:gridSpan w:val="2"/>
          </w:tcPr>
          <w:p>
            <w:pPr>
              <w:jc w:val="center"/>
              <w:ind w:left="1679"/>
              <w:spacing w:after="0"/>
              <w:rPr>
                <w:sz w:val="20"/>
                <w:szCs w:val="20"/>
                <w:color w:val="auto"/>
              </w:rPr>
            </w:pPr>
            <w:r>
              <w:rPr>
                <w:rFonts w:ascii="Arial" w:cs="Arial" w:eastAsia="Arial" w:hAnsi="Arial"/>
                <w:sz w:val="16"/>
                <w:szCs w:val="16"/>
                <w:color w:val="0000FF"/>
                <w:w w:val="89"/>
              </w:rPr>
              <w:t>6</w:t>
            </w:r>
          </w:p>
        </w:tc>
        <w:tc>
          <w:tcPr>
            <w:tcW w:w="2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60" w:type="dxa"/>
            <w:vAlign w:val="bottom"/>
            <w:gridSpan w:val="9"/>
          </w:tcPr>
          <w:p>
            <w:pPr>
              <w:spacing w:after="0"/>
              <w:rPr>
                <w:sz w:val="20"/>
                <w:szCs w:val="20"/>
                <w:color w:val="auto"/>
              </w:rPr>
            </w:pPr>
            <w:r>
              <w:rPr>
                <w:rFonts w:ascii="Arial" w:cs="Arial" w:eastAsia="Arial" w:hAnsi="Arial"/>
                <w:sz w:val="16"/>
                <w:szCs w:val="16"/>
                <w:color w:val="0000FF"/>
                <w:w w:val="90"/>
              </w:rPr>
              <w:t>Unaudited Condensed Consolidated Statements of Cash Flows</w:t>
            </w:r>
          </w:p>
        </w:tc>
        <w:tc>
          <w:tcPr>
            <w:tcW w:w="780" w:type="dxa"/>
            <w:vAlign w:val="bottom"/>
            <w:gridSpan w:val="3"/>
          </w:tcPr>
          <w:p>
            <w:pPr>
              <w:spacing w:after="0"/>
              <w:rPr>
                <w:sz w:val="17"/>
                <w:szCs w:val="17"/>
                <w:color w:val="auto"/>
              </w:rPr>
            </w:pPr>
          </w:p>
        </w:tc>
        <w:tc>
          <w:tcPr>
            <w:tcW w:w="2480" w:type="dxa"/>
            <w:vAlign w:val="bottom"/>
            <w:gridSpan w:val="2"/>
          </w:tcPr>
          <w:p>
            <w:pPr>
              <w:spacing w:after="0"/>
              <w:rPr>
                <w:sz w:val="17"/>
                <w:szCs w:val="17"/>
                <w:color w:val="auto"/>
              </w:rPr>
            </w:pPr>
          </w:p>
        </w:tc>
        <w:tc>
          <w:tcPr>
            <w:tcW w:w="1840" w:type="dxa"/>
            <w:vAlign w:val="bottom"/>
            <w:gridSpan w:val="2"/>
          </w:tcPr>
          <w:p>
            <w:pPr>
              <w:jc w:val="center"/>
              <w:ind w:left="1679"/>
              <w:spacing w:after="0"/>
              <w:rPr>
                <w:sz w:val="20"/>
                <w:szCs w:val="20"/>
                <w:color w:val="auto"/>
              </w:rPr>
            </w:pPr>
            <w:r>
              <w:rPr>
                <w:rFonts w:ascii="Arial" w:cs="Arial" w:eastAsia="Arial" w:hAnsi="Arial"/>
                <w:sz w:val="16"/>
                <w:szCs w:val="16"/>
                <w:color w:val="0000FF"/>
                <w:w w:val="89"/>
              </w:rPr>
              <w:t>7</w:t>
            </w:r>
          </w:p>
        </w:tc>
        <w:tc>
          <w:tcPr>
            <w:tcW w:w="2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320" w:type="dxa"/>
            <w:vAlign w:val="bottom"/>
            <w:gridSpan w:val="14"/>
          </w:tcPr>
          <w:p>
            <w:pPr>
              <w:spacing w:after="0"/>
              <w:rPr>
                <w:sz w:val="20"/>
                <w:szCs w:val="20"/>
                <w:color w:val="auto"/>
              </w:rPr>
            </w:pPr>
            <w:r>
              <w:rPr>
                <w:rFonts w:ascii="Arial" w:cs="Arial" w:eastAsia="Arial" w:hAnsi="Arial"/>
                <w:sz w:val="16"/>
                <w:szCs w:val="16"/>
                <w:color w:val="0000FF"/>
              </w:rPr>
              <w:t>Unaudited Condensed Consolidated Statements of Stockholders’ Equity</w:t>
            </w:r>
          </w:p>
        </w:tc>
        <w:tc>
          <w:tcPr>
            <w:tcW w:w="1840" w:type="dxa"/>
            <w:vAlign w:val="bottom"/>
            <w:gridSpan w:val="2"/>
          </w:tcPr>
          <w:p>
            <w:pPr>
              <w:jc w:val="center"/>
              <w:ind w:left="1679"/>
              <w:spacing w:after="0"/>
              <w:rPr>
                <w:sz w:val="20"/>
                <w:szCs w:val="20"/>
                <w:color w:val="auto"/>
              </w:rPr>
            </w:pPr>
            <w:r>
              <w:rPr>
                <w:rFonts w:ascii="Arial" w:cs="Arial" w:eastAsia="Arial" w:hAnsi="Arial"/>
                <w:sz w:val="16"/>
                <w:szCs w:val="16"/>
                <w:color w:val="0000FF"/>
                <w:w w:val="89"/>
              </w:rPr>
              <w:t>8</w:t>
            </w:r>
          </w:p>
        </w:tc>
        <w:tc>
          <w:tcPr>
            <w:tcW w:w="2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60" w:type="dxa"/>
            <w:vAlign w:val="bottom"/>
            <w:gridSpan w:val="11"/>
          </w:tcPr>
          <w:p>
            <w:pPr>
              <w:spacing w:after="0"/>
              <w:rPr>
                <w:sz w:val="20"/>
                <w:szCs w:val="20"/>
                <w:color w:val="auto"/>
              </w:rPr>
            </w:pPr>
            <w:r>
              <w:rPr>
                <w:rFonts w:ascii="Arial" w:cs="Arial" w:eastAsia="Arial" w:hAnsi="Arial"/>
                <w:sz w:val="16"/>
                <w:szCs w:val="16"/>
                <w:color w:val="0000FF"/>
                <w:w w:val="97"/>
              </w:rPr>
              <w:t>Notes to Unaudited Condensed Consolidated Financial Statements</w:t>
            </w:r>
          </w:p>
        </w:tc>
        <w:tc>
          <w:tcPr>
            <w:tcW w:w="2660" w:type="dxa"/>
            <w:vAlign w:val="bottom"/>
            <w:gridSpan w:val="3"/>
          </w:tcPr>
          <w:p>
            <w:pPr>
              <w:spacing w:after="0"/>
              <w:rPr>
                <w:sz w:val="17"/>
                <w:szCs w:val="17"/>
                <w:color w:val="auto"/>
              </w:rPr>
            </w:pPr>
          </w:p>
        </w:tc>
        <w:tc>
          <w:tcPr>
            <w:tcW w:w="1840" w:type="dxa"/>
            <w:vAlign w:val="bottom"/>
            <w:gridSpan w:val="2"/>
          </w:tcPr>
          <w:p>
            <w:pPr>
              <w:jc w:val="center"/>
              <w:ind w:left="1679"/>
              <w:spacing w:after="0"/>
              <w:rPr>
                <w:sz w:val="20"/>
                <w:szCs w:val="20"/>
                <w:color w:val="auto"/>
              </w:rPr>
            </w:pPr>
            <w:r>
              <w:rPr>
                <w:rFonts w:ascii="Arial" w:cs="Arial" w:eastAsia="Arial" w:hAnsi="Arial"/>
                <w:sz w:val="16"/>
                <w:szCs w:val="16"/>
                <w:color w:val="0000FF"/>
                <w:w w:val="89"/>
              </w:rPr>
              <w:t>9</w:t>
            </w:r>
          </w:p>
        </w:tc>
        <w:tc>
          <w:tcPr>
            <w:tcW w:w="2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8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1000" w:type="dxa"/>
            <w:vAlign w:val="bottom"/>
            <w:gridSpan w:val="2"/>
          </w:tcPr>
          <w:p>
            <w:pPr>
              <w:spacing w:after="0"/>
              <w:rPr>
                <w:sz w:val="17"/>
                <w:szCs w:val="17"/>
                <w:color w:val="auto"/>
              </w:rPr>
            </w:pPr>
          </w:p>
        </w:tc>
        <w:tc>
          <w:tcPr>
            <w:tcW w:w="7320" w:type="dxa"/>
            <w:vAlign w:val="bottom"/>
            <w:gridSpan w:val="14"/>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840" w:type="dxa"/>
            <w:vAlign w:val="bottom"/>
            <w:gridSpan w:val="2"/>
          </w:tcPr>
          <w:p>
            <w:pPr>
              <w:jc w:val="center"/>
              <w:ind w:left="1599"/>
              <w:spacing w:after="0"/>
              <w:rPr>
                <w:sz w:val="20"/>
                <w:szCs w:val="20"/>
                <w:color w:val="auto"/>
              </w:rPr>
            </w:pPr>
            <w:r>
              <w:rPr>
                <w:rFonts w:ascii="Arial" w:cs="Arial" w:eastAsia="Arial" w:hAnsi="Arial"/>
                <w:sz w:val="16"/>
                <w:szCs w:val="16"/>
                <w:color w:val="0000FF"/>
                <w:w w:val="89"/>
              </w:rPr>
              <w:t>21</w:t>
            </w:r>
          </w:p>
        </w:tc>
        <w:tc>
          <w:tcPr>
            <w:tcW w:w="240" w:type="dxa"/>
            <w:vAlign w:val="bottom"/>
          </w:tcPr>
          <w:p>
            <w:pPr>
              <w:spacing w:after="0"/>
              <w:rPr>
                <w:sz w:val="17"/>
                <w:szCs w:val="17"/>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580" w:type="dxa"/>
            <w:vAlign w:val="bottom"/>
            <w:gridSpan w:val="2"/>
          </w:tcPr>
          <w:p>
            <w:pPr>
              <w:spacing w:after="0"/>
              <w:rPr>
                <w:sz w:val="20"/>
                <w:szCs w:val="20"/>
                <w:color w:val="auto"/>
              </w:rPr>
            </w:pPr>
            <w:r>
              <w:rPr>
                <w:rFonts w:ascii="Arial" w:cs="Arial" w:eastAsia="Arial" w:hAnsi="Arial"/>
                <w:sz w:val="16"/>
                <w:szCs w:val="16"/>
                <w:color w:val="0000FF"/>
              </w:rPr>
              <w:t>Item 3.</w:t>
            </w:r>
          </w:p>
        </w:tc>
        <w:tc>
          <w:tcPr>
            <w:tcW w:w="1000" w:type="dxa"/>
            <w:vAlign w:val="bottom"/>
            <w:gridSpan w:val="2"/>
          </w:tcPr>
          <w:p>
            <w:pPr>
              <w:spacing w:after="0"/>
              <w:rPr>
                <w:sz w:val="17"/>
                <w:szCs w:val="17"/>
                <w:color w:val="auto"/>
              </w:rPr>
            </w:pPr>
          </w:p>
        </w:tc>
        <w:tc>
          <w:tcPr>
            <w:tcW w:w="5800" w:type="dxa"/>
            <w:vAlign w:val="bottom"/>
            <w:gridSpan w:val="13"/>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1520" w:type="dxa"/>
            <w:vAlign w:val="bottom"/>
          </w:tcPr>
          <w:p>
            <w:pPr>
              <w:spacing w:after="0"/>
              <w:rPr>
                <w:sz w:val="17"/>
                <w:szCs w:val="17"/>
                <w:color w:val="auto"/>
              </w:rPr>
            </w:pPr>
          </w:p>
        </w:tc>
        <w:tc>
          <w:tcPr>
            <w:tcW w:w="1840" w:type="dxa"/>
            <w:vAlign w:val="bottom"/>
            <w:gridSpan w:val="2"/>
          </w:tcPr>
          <w:p>
            <w:pPr>
              <w:jc w:val="center"/>
              <w:ind w:left="1599"/>
              <w:spacing w:after="0"/>
              <w:rPr>
                <w:sz w:val="20"/>
                <w:szCs w:val="20"/>
                <w:color w:val="auto"/>
              </w:rPr>
            </w:pPr>
            <w:r>
              <w:rPr>
                <w:rFonts w:ascii="Arial" w:cs="Arial" w:eastAsia="Arial" w:hAnsi="Arial"/>
                <w:sz w:val="16"/>
                <w:szCs w:val="16"/>
                <w:color w:val="0000FF"/>
                <w:w w:val="89"/>
              </w:rPr>
              <w:t>32</w:t>
            </w:r>
          </w:p>
        </w:tc>
        <w:tc>
          <w:tcPr>
            <w:tcW w:w="24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1580" w:type="dxa"/>
            <w:vAlign w:val="bottom"/>
            <w:gridSpan w:val="4"/>
          </w:tcPr>
          <w:p>
            <w:pPr>
              <w:spacing w:after="0"/>
              <w:rPr>
                <w:sz w:val="20"/>
                <w:szCs w:val="20"/>
                <w:color w:val="auto"/>
              </w:rPr>
            </w:pPr>
            <w:r>
              <w:rPr>
                <w:rFonts w:ascii="Arial" w:cs="Arial" w:eastAsia="Arial" w:hAnsi="Arial"/>
                <w:sz w:val="16"/>
                <w:szCs w:val="16"/>
                <w:color w:val="0000FF"/>
              </w:rPr>
              <w:t>Item 4.</w:t>
            </w:r>
          </w:p>
        </w:tc>
        <w:tc>
          <w:tcPr>
            <w:tcW w:w="7320" w:type="dxa"/>
            <w:vAlign w:val="bottom"/>
            <w:gridSpan w:val="14"/>
          </w:tcPr>
          <w:p>
            <w:pPr>
              <w:spacing w:after="0"/>
              <w:rPr>
                <w:sz w:val="20"/>
                <w:szCs w:val="20"/>
                <w:color w:val="auto"/>
              </w:rPr>
            </w:pPr>
            <w:r>
              <w:rPr>
                <w:rFonts w:ascii="Arial" w:cs="Arial" w:eastAsia="Arial" w:hAnsi="Arial"/>
                <w:sz w:val="16"/>
                <w:szCs w:val="16"/>
                <w:color w:val="0000FF"/>
              </w:rPr>
              <w:t>Controls and Procedures</w:t>
            </w:r>
          </w:p>
        </w:tc>
        <w:tc>
          <w:tcPr>
            <w:tcW w:w="1840" w:type="dxa"/>
            <w:vAlign w:val="bottom"/>
            <w:gridSpan w:val="2"/>
          </w:tcPr>
          <w:p>
            <w:pPr>
              <w:jc w:val="center"/>
              <w:ind w:left="1599"/>
              <w:spacing w:after="0"/>
              <w:rPr>
                <w:sz w:val="20"/>
                <w:szCs w:val="20"/>
                <w:color w:val="auto"/>
              </w:rPr>
            </w:pPr>
            <w:r>
              <w:rPr>
                <w:rFonts w:ascii="Arial" w:cs="Arial" w:eastAsia="Arial" w:hAnsi="Arial"/>
                <w:sz w:val="16"/>
                <w:szCs w:val="16"/>
                <w:color w:val="0000FF"/>
                <w:w w:val="89"/>
              </w:rPr>
              <w:t>32</w:t>
            </w:r>
          </w:p>
        </w:tc>
        <w:tc>
          <w:tcPr>
            <w:tcW w:w="240" w:type="dxa"/>
            <w:vAlign w:val="bottom"/>
          </w:tcPr>
          <w:p>
            <w:pPr>
              <w:spacing w:after="0"/>
              <w:rPr>
                <w:sz w:val="17"/>
                <w:szCs w:val="17"/>
                <w:color w:val="auto"/>
              </w:rPr>
            </w:pPr>
          </w:p>
        </w:tc>
      </w:tr>
      <w:tr>
        <w:trPr>
          <w:trHeight w:val="393"/>
        </w:trPr>
        <w:tc>
          <w:tcPr>
            <w:tcW w:w="4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4680" w:type="dxa"/>
            <w:vAlign w:val="bottom"/>
            <w:gridSpan w:val="7"/>
          </w:tcPr>
          <w:p>
            <w:pPr>
              <w:ind w:left="1060"/>
              <w:spacing w:after="0"/>
              <w:rPr>
                <w:sz w:val="20"/>
                <w:szCs w:val="20"/>
                <w:color w:val="auto"/>
              </w:rPr>
            </w:pPr>
            <w:r>
              <w:rPr>
                <w:rFonts w:ascii="Arial" w:cs="Arial" w:eastAsia="Arial" w:hAnsi="Arial"/>
                <w:sz w:val="16"/>
                <w:szCs w:val="16"/>
                <w:b w:val="1"/>
                <w:bCs w:val="1"/>
                <w:color w:val="auto"/>
              </w:rPr>
              <w:t>PART II</w:t>
            </w:r>
          </w:p>
        </w:tc>
        <w:tc>
          <w:tcPr>
            <w:tcW w:w="17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r>
      <w:tr>
        <w:trPr>
          <w:trHeight w:val="343"/>
        </w:trPr>
        <w:tc>
          <w:tcPr>
            <w:tcW w:w="58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Item 1.</w:t>
            </w:r>
          </w:p>
        </w:tc>
        <w:tc>
          <w:tcPr>
            <w:tcW w:w="1000" w:type="dxa"/>
            <w:vAlign w:val="bottom"/>
            <w:gridSpan w:val="2"/>
          </w:tcPr>
          <w:p>
            <w:pPr>
              <w:spacing w:after="0"/>
              <w:rPr>
                <w:sz w:val="24"/>
                <w:szCs w:val="24"/>
                <w:color w:val="auto"/>
              </w:rPr>
            </w:pPr>
          </w:p>
        </w:tc>
        <w:tc>
          <w:tcPr>
            <w:tcW w:w="12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89"/>
              </w:rPr>
              <w:t>Legal Proceedings</w:t>
            </w:r>
          </w:p>
        </w:tc>
        <w:tc>
          <w:tcPr>
            <w:tcW w:w="6120" w:type="dxa"/>
            <w:vAlign w:val="bottom"/>
            <w:gridSpan w:val="10"/>
          </w:tcPr>
          <w:p>
            <w:pPr>
              <w:spacing w:after="0"/>
              <w:rPr>
                <w:sz w:val="24"/>
                <w:szCs w:val="24"/>
                <w:color w:val="auto"/>
              </w:rPr>
            </w:pPr>
          </w:p>
        </w:tc>
        <w:tc>
          <w:tcPr>
            <w:tcW w:w="1840" w:type="dxa"/>
            <w:vAlign w:val="bottom"/>
            <w:gridSpan w:val="2"/>
          </w:tcPr>
          <w:p>
            <w:pPr>
              <w:jc w:val="center"/>
              <w:ind w:left="1599"/>
              <w:spacing w:after="0"/>
              <w:rPr>
                <w:sz w:val="20"/>
                <w:szCs w:val="20"/>
                <w:color w:val="auto"/>
              </w:rPr>
            </w:pPr>
            <w:r>
              <w:rPr>
                <w:rFonts w:ascii="Arial" w:cs="Arial" w:eastAsia="Arial" w:hAnsi="Arial"/>
                <w:sz w:val="16"/>
                <w:szCs w:val="16"/>
                <w:color w:val="0000FF"/>
                <w:w w:val="89"/>
              </w:rPr>
              <w:t>33</w:t>
            </w:r>
          </w:p>
        </w:tc>
        <w:tc>
          <w:tcPr>
            <w:tcW w:w="240" w:type="dxa"/>
            <w:vAlign w:val="bottom"/>
          </w:tcPr>
          <w:p>
            <w:pPr>
              <w:spacing w:after="0"/>
              <w:rPr>
                <w:sz w:val="24"/>
                <w:szCs w:val="24"/>
                <w:color w:val="auto"/>
              </w:rPr>
            </w:pPr>
          </w:p>
        </w:tc>
      </w:tr>
      <w:tr>
        <w:trPr>
          <w:trHeight w:val="196"/>
        </w:trPr>
        <w:tc>
          <w:tcPr>
            <w:tcW w:w="1580" w:type="dxa"/>
            <w:vAlign w:val="bottom"/>
            <w:gridSpan w:val="4"/>
          </w:tcPr>
          <w:p>
            <w:pPr>
              <w:spacing w:after="0"/>
              <w:rPr>
                <w:sz w:val="20"/>
                <w:szCs w:val="20"/>
                <w:color w:val="auto"/>
              </w:rPr>
            </w:pPr>
            <w:r>
              <w:rPr>
                <w:rFonts w:ascii="Arial" w:cs="Arial" w:eastAsia="Arial" w:hAnsi="Arial"/>
                <w:sz w:val="16"/>
                <w:szCs w:val="16"/>
                <w:color w:val="0000FF"/>
              </w:rPr>
              <w:t>Item 1A.</w:t>
            </w:r>
          </w:p>
        </w:tc>
        <w:tc>
          <w:tcPr>
            <w:tcW w:w="7320" w:type="dxa"/>
            <w:vAlign w:val="bottom"/>
            <w:gridSpan w:val="14"/>
          </w:tcPr>
          <w:p>
            <w:pPr>
              <w:spacing w:after="0"/>
              <w:rPr>
                <w:sz w:val="20"/>
                <w:szCs w:val="20"/>
                <w:color w:val="auto"/>
              </w:rPr>
            </w:pPr>
            <w:r>
              <w:rPr>
                <w:rFonts w:ascii="Arial" w:cs="Arial" w:eastAsia="Arial" w:hAnsi="Arial"/>
                <w:sz w:val="16"/>
                <w:szCs w:val="16"/>
                <w:color w:val="0000FF"/>
              </w:rPr>
              <w:t>Risk Factors</w:t>
            </w:r>
          </w:p>
        </w:tc>
        <w:tc>
          <w:tcPr>
            <w:tcW w:w="1840" w:type="dxa"/>
            <w:vAlign w:val="bottom"/>
            <w:gridSpan w:val="2"/>
          </w:tcPr>
          <w:p>
            <w:pPr>
              <w:jc w:val="center"/>
              <w:ind w:left="1599"/>
              <w:spacing w:after="0"/>
              <w:rPr>
                <w:sz w:val="20"/>
                <w:szCs w:val="20"/>
                <w:color w:val="auto"/>
              </w:rPr>
            </w:pPr>
            <w:r>
              <w:rPr>
                <w:rFonts w:ascii="Arial" w:cs="Arial" w:eastAsia="Arial" w:hAnsi="Arial"/>
                <w:sz w:val="16"/>
                <w:szCs w:val="16"/>
                <w:color w:val="0000FF"/>
                <w:w w:val="89"/>
              </w:rPr>
              <w:t>33</w:t>
            </w:r>
          </w:p>
        </w:tc>
        <w:tc>
          <w:tcPr>
            <w:tcW w:w="240" w:type="dxa"/>
            <w:vAlign w:val="bottom"/>
          </w:tcPr>
          <w:p>
            <w:pPr>
              <w:spacing w:after="0"/>
              <w:rPr>
                <w:sz w:val="17"/>
                <w:szCs w:val="17"/>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58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320" w:type="dxa"/>
            <w:vAlign w:val="bottom"/>
            <w:gridSpan w:val="14"/>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1840" w:type="dxa"/>
            <w:vAlign w:val="bottom"/>
            <w:gridSpan w:val="2"/>
          </w:tcPr>
          <w:p>
            <w:pPr>
              <w:jc w:val="center"/>
              <w:ind w:left="1599"/>
              <w:spacing w:after="0"/>
              <w:rPr>
                <w:sz w:val="20"/>
                <w:szCs w:val="20"/>
                <w:color w:val="auto"/>
              </w:rPr>
            </w:pPr>
            <w:r>
              <w:rPr>
                <w:rFonts w:ascii="Arial" w:cs="Arial" w:eastAsia="Arial" w:hAnsi="Arial"/>
                <w:sz w:val="16"/>
                <w:szCs w:val="16"/>
                <w:color w:val="0000FF"/>
                <w:w w:val="89"/>
              </w:rPr>
              <w:t>33</w:t>
            </w:r>
          </w:p>
        </w:tc>
        <w:tc>
          <w:tcPr>
            <w:tcW w:w="240" w:type="dxa"/>
            <w:vAlign w:val="bottom"/>
          </w:tcPr>
          <w:p>
            <w:pPr>
              <w:spacing w:after="0"/>
              <w:rPr>
                <w:sz w:val="17"/>
                <w:szCs w:val="17"/>
                <w:color w:val="auto"/>
              </w:rPr>
            </w:pPr>
          </w:p>
        </w:tc>
      </w:tr>
      <w:tr>
        <w:trPr>
          <w:trHeight w:val="196"/>
        </w:trPr>
        <w:tc>
          <w:tcPr>
            <w:tcW w:w="100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0000FF"/>
              </w:rPr>
              <w:t>Item 5.</w:t>
            </w:r>
          </w:p>
        </w:tc>
        <w:tc>
          <w:tcPr>
            <w:tcW w:w="580" w:type="dxa"/>
            <w:vAlign w:val="bottom"/>
          </w:tcPr>
          <w:p>
            <w:pPr>
              <w:spacing w:after="0"/>
              <w:rPr>
                <w:sz w:val="17"/>
                <w:szCs w:val="17"/>
                <w:color w:val="auto"/>
              </w:rPr>
            </w:pPr>
          </w:p>
        </w:tc>
        <w:tc>
          <w:tcPr>
            <w:tcW w:w="3920" w:type="dxa"/>
            <w:vAlign w:val="bottom"/>
            <w:tcBorders>
              <w:top w:val="single" w:sz="8" w:color="0000FF"/>
            </w:tcBorders>
            <w:gridSpan w:val="8"/>
          </w:tcPr>
          <w:p>
            <w:pPr>
              <w:spacing w:after="0"/>
              <w:rPr>
                <w:sz w:val="20"/>
                <w:szCs w:val="20"/>
                <w:color w:val="auto"/>
              </w:rPr>
            </w:pPr>
            <w:r>
              <w:rPr>
                <w:rFonts w:ascii="Arial" w:cs="Arial" w:eastAsia="Arial" w:hAnsi="Arial"/>
                <w:sz w:val="16"/>
                <w:szCs w:val="16"/>
                <w:color w:val="0000FF"/>
              </w:rPr>
              <w:t>Other Information</w:t>
            </w:r>
          </w:p>
        </w:tc>
        <w:tc>
          <w:tcPr>
            <w:tcW w:w="3400" w:type="dxa"/>
            <w:vAlign w:val="bottom"/>
            <w:gridSpan w:val="6"/>
          </w:tcPr>
          <w:p>
            <w:pPr>
              <w:spacing w:after="0"/>
              <w:rPr>
                <w:sz w:val="17"/>
                <w:szCs w:val="17"/>
                <w:color w:val="auto"/>
              </w:rPr>
            </w:pPr>
          </w:p>
        </w:tc>
        <w:tc>
          <w:tcPr>
            <w:tcW w:w="1840" w:type="dxa"/>
            <w:vAlign w:val="bottom"/>
            <w:gridSpan w:val="2"/>
          </w:tcPr>
          <w:p>
            <w:pPr>
              <w:jc w:val="center"/>
              <w:ind w:left="1599"/>
              <w:spacing w:after="0"/>
              <w:rPr>
                <w:sz w:val="20"/>
                <w:szCs w:val="20"/>
                <w:color w:val="auto"/>
              </w:rPr>
            </w:pPr>
            <w:r>
              <w:rPr>
                <w:rFonts w:ascii="Arial" w:cs="Arial" w:eastAsia="Arial" w:hAnsi="Arial"/>
                <w:sz w:val="16"/>
                <w:szCs w:val="16"/>
                <w:color w:val="0000FF"/>
                <w:w w:val="89"/>
              </w:rPr>
              <w:t>33</w:t>
            </w:r>
          </w:p>
        </w:tc>
        <w:tc>
          <w:tcPr>
            <w:tcW w:w="24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140" w:type="dxa"/>
            <w:vAlign w:val="bottom"/>
            <w:gridSpan w:val="11"/>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1580" w:type="dxa"/>
            <w:vAlign w:val="bottom"/>
            <w:gridSpan w:val="4"/>
          </w:tcPr>
          <w:p>
            <w:pPr>
              <w:spacing w:after="0"/>
              <w:rPr>
                <w:sz w:val="20"/>
                <w:szCs w:val="20"/>
                <w:color w:val="auto"/>
              </w:rPr>
            </w:pPr>
            <w:r>
              <w:rPr>
                <w:rFonts w:ascii="Arial" w:cs="Arial" w:eastAsia="Arial" w:hAnsi="Arial"/>
                <w:sz w:val="16"/>
                <w:szCs w:val="16"/>
                <w:color w:val="0000FF"/>
              </w:rPr>
              <w:t>Item 6.</w:t>
            </w:r>
          </w:p>
        </w:tc>
        <w:tc>
          <w:tcPr>
            <w:tcW w:w="7320" w:type="dxa"/>
            <w:vAlign w:val="bottom"/>
            <w:gridSpan w:val="14"/>
          </w:tcPr>
          <w:p>
            <w:pPr>
              <w:spacing w:after="0"/>
              <w:rPr>
                <w:sz w:val="20"/>
                <w:szCs w:val="20"/>
                <w:color w:val="auto"/>
              </w:rPr>
            </w:pPr>
            <w:r>
              <w:rPr>
                <w:rFonts w:ascii="Arial" w:cs="Arial" w:eastAsia="Arial" w:hAnsi="Arial"/>
                <w:sz w:val="16"/>
                <w:szCs w:val="16"/>
                <w:color w:val="0000FF"/>
              </w:rPr>
              <w:t>Exhibits</w:t>
            </w:r>
          </w:p>
        </w:tc>
        <w:tc>
          <w:tcPr>
            <w:tcW w:w="1840" w:type="dxa"/>
            <w:vAlign w:val="bottom"/>
            <w:gridSpan w:val="2"/>
          </w:tcPr>
          <w:p>
            <w:pPr>
              <w:jc w:val="center"/>
              <w:ind w:left="1599"/>
              <w:spacing w:after="0"/>
              <w:rPr>
                <w:sz w:val="20"/>
                <w:szCs w:val="20"/>
                <w:color w:val="auto"/>
              </w:rPr>
            </w:pPr>
            <w:r>
              <w:rPr>
                <w:rFonts w:ascii="Arial" w:cs="Arial" w:eastAsia="Arial" w:hAnsi="Arial"/>
                <w:sz w:val="16"/>
                <w:szCs w:val="16"/>
                <w:color w:val="0000FF"/>
                <w:w w:val="89"/>
              </w:rPr>
              <w:t>34</w:t>
            </w:r>
          </w:p>
        </w:tc>
        <w:tc>
          <w:tcPr>
            <w:tcW w:w="24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358"/>
        </w:trPr>
        <w:tc>
          <w:tcPr>
            <w:tcW w:w="1000" w:type="dxa"/>
            <w:vAlign w:val="bottom"/>
            <w:gridSpan w:val="3"/>
          </w:tcPr>
          <w:p>
            <w:pPr>
              <w:spacing w:after="0"/>
              <w:rPr>
                <w:sz w:val="20"/>
                <w:szCs w:val="20"/>
                <w:color w:val="auto"/>
              </w:rPr>
            </w:pPr>
            <w:r>
              <w:rPr>
                <w:rFonts w:ascii="Arial" w:cs="Arial" w:eastAsia="Arial" w:hAnsi="Arial"/>
                <w:sz w:val="16"/>
                <w:szCs w:val="16"/>
                <w:color w:val="0000FF"/>
                <w:w w:val="94"/>
              </w:rPr>
              <w:t>SIGNATURES</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40" w:type="dxa"/>
            <w:vAlign w:val="bottom"/>
            <w:gridSpan w:val="2"/>
          </w:tcPr>
          <w:p>
            <w:pPr>
              <w:jc w:val="center"/>
              <w:ind w:left="1599"/>
              <w:spacing w:after="0"/>
              <w:rPr>
                <w:sz w:val="20"/>
                <w:szCs w:val="20"/>
                <w:color w:val="auto"/>
              </w:rPr>
            </w:pPr>
            <w:r>
              <w:rPr>
                <w:rFonts w:ascii="Arial" w:cs="Arial" w:eastAsia="Arial" w:hAnsi="Arial"/>
                <w:sz w:val="16"/>
                <w:szCs w:val="16"/>
                <w:color w:val="0000FF"/>
                <w:w w:val="89"/>
              </w:rPr>
              <w:t>34</w:t>
            </w:r>
          </w:p>
        </w:tc>
        <w:tc>
          <w:tcPr>
            <w:tcW w:w="24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1188" w:right="579" w:bottom="1440" w:gutter="0" w:footer="0" w:header="0"/>
        </w:sectPr>
      </w:pPr>
    </w:p>
    <w:bookmarkStart w:id="2" w:name="page3"/>
    <w:bookmarkEnd w:id="2"/>
    <w:p>
      <w:pPr>
        <w:ind w:right="360"/>
        <w:spacing w:after="0" w:line="277" w:lineRule="auto"/>
        <w:rPr>
          <w:sz w:val="20"/>
          <w:szCs w:val="20"/>
          <w:color w:val="auto"/>
        </w:rPr>
      </w:pPr>
      <w:r>
        <w:rPr>
          <w:rFonts w:ascii="Arial" w:cs="Arial" w:eastAsia="Arial" w:hAnsi="Arial"/>
          <w:sz w:val="18"/>
          <w:szCs w:val="18"/>
          <w:color w:val="auto"/>
        </w:rPr>
        <w:t>Unless the context requires otherwise, references in this Quarterly Report on Form 10-Q (this “Form 10-Q”) to "Option Care Health," the “Company,” “we,” “us” and “our” refer to Option Care Health, Inc. and its consolidated subsidiaries.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Form 10-Q includes forward-looking statements within the meaning of the safe harbor provisions of the U.S. Private Securities Litigation Reform Act of 1995, including, without limitation, statements concerning our expectations regarding industry and macroeconomic trends and our operating performance. Forward-looking statements can be identified by words such as: “anticipate,” “intend,” “plan,” “believe,” “project,” “estimate,” “expect,” “may,” “should,” “will” and similar references to future periods.</w:t>
      </w:r>
    </w:p>
    <w:p>
      <w:pPr>
        <w:spacing w:after="0" w:line="14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If any of these risks materialize, or if any of our assumptions underlying forward-looking statements prove incorrect, actual results and developments may differ materially from those made in or suggested by the forward-looking statements contained in this Form 10-Q. Important factors that could cause our actual results and financial condition to differ materially from those indicated in the forward-looking statements include, among others, those set forth in Item 1A, “Risk Factors,” of Part I of our Annual Report on Form 10-K for the year ended December 31, 2022 (our “Form 10-K”) filed with the U.S. Securities and Exchange Commission (the “SEC”). Although we have attempted to identify important risk factors, there may be other risk factors not presently known to us or that we presently believe are not material that could cause actual results and developments to differ materially from those made in or suggested by the forward-looking statements contained in this Form 10-Q. We caution you against relying on any forward-looking statements, which should also be read in conjunction with the other cautionary statements that are included elsewhere in this Form 10-Q. Any forward-looking statement made by us in this Form 10-Q speaks only as of the date hereof. We undertake no obligation to publicly update or to revise any forward-looking statement, whether as a result of new information, future developments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SHARES AND PER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September 30, 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December 31, 2022</w:t>
            </w: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(unaudited)</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386,489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294,186</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382,957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377,542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224,281</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95,473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98,330</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1,116,285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994,339</w:t>
            </w:r>
          </w:p>
        </w:tc>
        <w:tc>
          <w:tcPr>
            <w:tcW w:w="0" w:type="dxa"/>
            <w:vAlign w:val="bottom"/>
          </w:tcPr>
          <w:p>
            <w:pPr>
              <w:spacing w:after="0"/>
              <w:rPr>
                <w:sz w:val="1"/>
                <w:szCs w:val="1"/>
                <w:color w:val="auto"/>
              </w:rPr>
            </w:pPr>
          </w:p>
        </w:tc>
      </w:tr>
      <w:tr>
        <w:trPr>
          <w:trHeight w:val="199"/>
        </w:trPr>
        <w:tc>
          <w:tcPr>
            <w:tcW w:w="7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107,960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108,321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72,424</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20,868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22,371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Referral sources,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323,126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341,744</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1,540,246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1,533,424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51,399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40,313</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noncurrent assets</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2,127,331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2,118,597</w:t>
            </w:r>
          </w:p>
        </w:tc>
        <w:tc>
          <w:tcPr>
            <w:tcW w:w="0" w:type="dxa"/>
            <w:vAlign w:val="bottom"/>
          </w:tcPr>
          <w:p>
            <w:pPr>
              <w:spacing w:after="0"/>
              <w:rPr>
                <w:sz w:val="1"/>
                <w:szCs w:val="1"/>
                <w:color w:val="auto"/>
              </w:rPr>
            </w:pPr>
          </w:p>
        </w:tc>
      </w:tr>
      <w:tr>
        <w:trPr>
          <w:trHeight w:val="23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3,243,616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3,112,936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AND STOCKHOLDERS’ EQUITY</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429,536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378,763</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Accrued compensation and employee benefits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81,159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76,906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84,302</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Current portion of operating lease liability</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18,468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19,380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624,084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565,351</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net of discount, deferred financing costs and current portion</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1,057,016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1,058,204</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Operating lease liability, net of current portion</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85,423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71,441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22,154</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9,683</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noncurrent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1,179,449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1,161,482</w:t>
            </w:r>
          </w:p>
        </w:tc>
        <w:tc>
          <w:tcPr>
            <w:tcW w:w="0" w:type="dxa"/>
            <w:vAlign w:val="bottom"/>
          </w:tcPr>
          <w:p>
            <w:pPr>
              <w:spacing w:after="0"/>
              <w:rPr>
                <w:sz w:val="1"/>
                <w:szCs w:val="1"/>
                <w:color w:val="auto"/>
              </w:rPr>
            </w:pPr>
          </w:p>
        </w:tc>
      </w:tr>
      <w:tr>
        <w:trPr>
          <w:trHeight w:val="206"/>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1,803,533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1,726,833</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0"/>
              </w:rPr>
              <w:t>Preferred stock; $0.0001 par value; 12,500,000 shares authorized, no shares outstanding as of September 30, 2023</w:t>
            </w:r>
          </w:p>
        </w:tc>
        <w:tc>
          <w:tcPr>
            <w:tcW w:w="160" w:type="dxa"/>
            <w:vAlign w:val="bottom"/>
            <w:shd w:val="clear" w:color="auto" w:fill="CCEEFF"/>
          </w:tcPr>
          <w:p>
            <w:pPr>
              <w:spacing w:after="0"/>
              <w:rPr>
                <w:sz w:val="14"/>
                <w:szCs w:val="14"/>
                <w:color w:val="auto"/>
              </w:rPr>
            </w:pPr>
          </w:p>
        </w:tc>
        <w:tc>
          <w:tcPr>
            <w:tcW w:w="1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and December 31, 2022</w:t>
            </w:r>
          </w:p>
        </w:tc>
        <w:tc>
          <w:tcPr>
            <w:tcW w:w="160" w:type="dxa"/>
            <w:vAlign w:val="bottom"/>
            <w:shd w:val="clear" w:color="auto" w:fill="CCEEFF"/>
          </w:tcPr>
          <w:p>
            <w:pPr>
              <w:spacing w:after="0"/>
              <w:rPr>
                <w:sz w:val="18"/>
                <w:szCs w:val="18"/>
                <w:color w:val="auto"/>
              </w:rPr>
            </w:pPr>
          </w:p>
        </w:tc>
        <w:tc>
          <w:tcPr>
            <w:tcW w:w="17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600" w:type="dxa"/>
            <w:vAlign w:val="bottom"/>
          </w:tcPr>
          <w:p>
            <w:pPr>
              <w:ind w:left="140"/>
              <w:spacing w:after="0" w:line="166" w:lineRule="exact"/>
              <w:rPr>
                <w:sz w:val="20"/>
                <w:szCs w:val="20"/>
                <w:color w:val="auto"/>
              </w:rPr>
            </w:pPr>
            <w:r>
              <w:rPr>
                <w:rFonts w:ascii="Arial" w:cs="Arial" w:eastAsia="Arial" w:hAnsi="Arial"/>
                <w:sz w:val="16"/>
                <w:szCs w:val="16"/>
                <w:color w:val="auto"/>
                <w:w w:val="93"/>
              </w:rPr>
              <w:t>Common stock; $0.0001 par value: 250,000,000 shares authorized, 182,901,785 shares issued and 177,129,378</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40"/>
              <w:spacing w:after="0" w:line="162" w:lineRule="exact"/>
              <w:rPr>
                <w:sz w:val="20"/>
                <w:szCs w:val="20"/>
                <w:color w:val="auto"/>
              </w:rPr>
            </w:pPr>
            <w:r>
              <w:rPr>
                <w:rFonts w:ascii="Arial" w:cs="Arial" w:eastAsia="Arial" w:hAnsi="Arial"/>
                <w:sz w:val="16"/>
                <w:szCs w:val="16"/>
                <w:color w:val="auto"/>
                <w:w w:val="89"/>
              </w:rPr>
              <w:t>shares outstanding as of September 30, 2023; 182,341,420 shares issued and 181,957,698 shares outstanding as of</w:t>
            </w: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9"/>
        </w:trPr>
        <w:tc>
          <w:tcPr>
            <w:tcW w:w="7600" w:type="dxa"/>
            <w:vAlign w:val="bottom"/>
          </w:tcPr>
          <w:p>
            <w:pPr>
              <w:ind w:left="140"/>
              <w:spacing w:after="0"/>
              <w:rPr>
                <w:sz w:val="20"/>
                <w:szCs w:val="20"/>
                <w:color w:val="auto"/>
              </w:rPr>
            </w:pPr>
            <w:r>
              <w:rPr>
                <w:rFonts w:ascii="Arial" w:cs="Arial" w:eastAsia="Arial" w:hAnsi="Arial"/>
                <w:sz w:val="16"/>
                <w:szCs w:val="16"/>
                <w:color w:val="auto"/>
              </w:rPr>
              <w:t>December 31, 2022</w:t>
            </w:r>
          </w:p>
        </w:tc>
        <w:tc>
          <w:tcPr>
            <w:tcW w:w="16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2"/>
              </w:rPr>
              <w:t>Treasury stock; 5,772,407 and 383,722 shares outstanding, at cost, as of September 30, 2023 and December 31,</w:t>
            </w: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(179,205)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(2,403)</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2022, respectively</w:t>
            </w: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Paid-in capital</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1,197,874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1,176,906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400,336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190,423</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21,060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21,159</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1,440,083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1,386,103</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3,243,616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3,112,936</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ind w:right="3480"/>
        <w:spacing w:after="0" w:line="260" w:lineRule="auto"/>
        <w:rPr>
          <w:sz w:val="20"/>
          <w:szCs w:val="20"/>
          <w:color w:val="auto"/>
        </w:rPr>
      </w:pPr>
      <w:r>
        <w:rPr>
          <w:rFonts w:ascii="Arial" w:cs="Arial" w:eastAsia="Arial" w:hAnsi="Arial"/>
          <w:sz w:val="18"/>
          <w:szCs w:val="18"/>
          <w:b w:val="1"/>
          <w:bCs w:val="1"/>
          <w:color w:val="auto"/>
        </w:rPr>
        <w:t>UNAUDITED CONDENSED CONSOLIDATED STATEMENTS OF COMPREHENSIVE INCOME (IN THOUSANDS, EXCEPT PER SHARE AMOUNTS)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268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3"/>
              </w:rPr>
              <w:t>Nine Months Ended September 30,</w:t>
            </w:r>
          </w:p>
        </w:tc>
        <w:tc>
          <w:tcPr>
            <w:tcW w:w="0" w:type="dxa"/>
            <w:vAlign w:val="bottom"/>
          </w:tcPr>
          <w:p>
            <w:pPr>
              <w:spacing w:after="0"/>
              <w:rPr>
                <w:sz w:val="1"/>
                <w:szCs w:val="1"/>
                <w:color w:val="auto"/>
              </w:rPr>
            </w:pPr>
          </w:p>
        </w:tc>
      </w:tr>
      <w:tr>
        <w:trPr>
          <w:trHeight w:val="210"/>
        </w:trPr>
        <w:tc>
          <w:tcPr>
            <w:tcW w:w="54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1,093,014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1,020,918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3,177,934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2,917,522</w:t>
            </w:r>
          </w:p>
        </w:tc>
        <w:tc>
          <w:tcPr>
            <w:tcW w:w="0" w:type="dxa"/>
            <w:vAlign w:val="bottom"/>
          </w:tcPr>
          <w:p>
            <w:pPr>
              <w:spacing w:after="0"/>
              <w:rPr>
                <w:sz w:val="1"/>
                <w:szCs w:val="1"/>
                <w:color w:val="auto"/>
              </w:rPr>
            </w:pPr>
          </w:p>
        </w:tc>
      </w:tr>
      <w:tr>
        <w:trPr>
          <w:trHeight w:val="21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838,748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802,917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2,443,834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2,281,685</w:t>
            </w:r>
          </w:p>
        </w:tc>
        <w:tc>
          <w:tcPr>
            <w:tcW w:w="0" w:type="dxa"/>
            <w:vAlign w:val="bottom"/>
          </w:tcPr>
          <w:p>
            <w:pPr>
              <w:spacing w:after="0"/>
              <w:rPr>
                <w:sz w:val="1"/>
                <w:szCs w:val="1"/>
                <w:color w:val="auto"/>
              </w:rPr>
            </w:pPr>
          </w:p>
        </w:tc>
      </w:tr>
      <w:tr>
        <w:trPr>
          <w:trHeight w:val="212"/>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254,266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734,100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635,837</w:t>
            </w:r>
          </w:p>
        </w:tc>
        <w:tc>
          <w:tcPr>
            <w:tcW w:w="0" w:type="dxa"/>
            <w:vAlign w:val="bottom"/>
          </w:tcPr>
          <w:p>
            <w:pPr>
              <w:spacing w:after="0"/>
              <w:rPr>
                <w:sz w:val="1"/>
                <w:szCs w:val="1"/>
                <w:color w:val="auto"/>
              </w:rPr>
            </w:pPr>
          </w:p>
        </w:tc>
      </w:tr>
      <w:tr>
        <w:trPr>
          <w:trHeight w:val="257"/>
        </w:trPr>
        <w:tc>
          <w:tcPr>
            <w:tcW w:w="5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60" w:type="dxa"/>
            <w:vAlign w:val="bottom"/>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158,214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459,644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417,771</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expense</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46,027</w:t>
            </w:r>
          </w:p>
        </w:tc>
        <w:tc>
          <w:tcPr>
            <w:tcW w:w="0" w:type="dxa"/>
            <w:vAlign w:val="bottom"/>
          </w:tcPr>
          <w:p>
            <w:pPr>
              <w:spacing w:after="0"/>
              <w:rPr>
                <w:sz w:val="1"/>
                <w:szCs w:val="1"/>
                <w:color w:val="auto"/>
              </w:rPr>
            </w:pPr>
          </w:p>
        </w:tc>
      </w:tr>
      <w:tr>
        <w:trPr>
          <w:trHeight w:val="206"/>
        </w:trPr>
        <w:tc>
          <w:tcPr>
            <w:tcW w:w="5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173,219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157,283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504,061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463,798</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81,047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60,718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230,039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172,039</w:t>
            </w:r>
          </w:p>
        </w:tc>
        <w:tc>
          <w:tcPr>
            <w:tcW w:w="0" w:type="dxa"/>
            <w:vAlign w:val="bottom"/>
          </w:tcPr>
          <w:p>
            <w:pPr>
              <w:spacing w:after="0"/>
              <w:rPr>
                <w:sz w:val="1"/>
                <w:szCs w:val="1"/>
                <w:color w:val="auto"/>
              </w:rPr>
            </w:pPr>
          </w:p>
        </w:tc>
      </w:tr>
      <w:tr>
        <w:trPr>
          <w:trHeight w:val="199"/>
        </w:trPr>
        <w:tc>
          <w:tcPr>
            <w:tcW w:w="5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6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(13,997)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(38,816)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(39,008)</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 earnings of joint ventures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4,065</w:t>
            </w:r>
          </w:p>
        </w:tc>
        <w:tc>
          <w:tcPr>
            <w:tcW w:w="0" w:type="dxa"/>
            <w:vAlign w:val="bottom"/>
          </w:tcPr>
          <w:p>
            <w:pPr>
              <w:spacing w:after="0"/>
              <w:rPr>
                <w:sz w:val="1"/>
                <w:szCs w:val="1"/>
                <w:color w:val="auto"/>
              </w:rPr>
            </w:pPr>
          </w:p>
        </w:tc>
      </w:tr>
      <w:tr>
        <w:trPr>
          <w:trHeight w:val="213"/>
        </w:trPr>
        <w:tc>
          <w:tcPr>
            <w:tcW w:w="5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84,487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3,891</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(expense) income</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49,778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(31,052)</w:t>
            </w:r>
          </w:p>
        </w:tc>
        <w:tc>
          <w:tcPr>
            <w:tcW w:w="0" w:type="dxa"/>
            <w:vAlign w:val="bottom"/>
          </w:tcPr>
          <w:p>
            <w:pPr>
              <w:spacing w:after="0"/>
              <w:rPr>
                <w:sz w:val="1"/>
                <w:szCs w:val="1"/>
                <w:color w:val="auto"/>
              </w:rPr>
            </w:pPr>
          </w:p>
        </w:tc>
      </w:tr>
      <w:tr>
        <w:trPr>
          <w:trHeight w:val="199"/>
        </w:trPr>
        <w:tc>
          <w:tcPr>
            <w:tcW w:w="5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70,085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279,817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140,987</w:t>
            </w:r>
          </w:p>
        </w:tc>
        <w:tc>
          <w:tcPr>
            <w:tcW w:w="0" w:type="dxa"/>
            <w:vAlign w:val="bottom"/>
          </w:tcPr>
          <w:p>
            <w:pPr>
              <w:spacing w:after="0"/>
              <w:rPr>
                <w:sz w:val="1"/>
                <w:szCs w:val="1"/>
                <w:color w:val="auto"/>
              </w:rPr>
            </w:pPr>
          </w:p>
        </w:tc>
      </w:tr>
      <w:tr>
        <w:trPr>
          <w:trHeight w:val="21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13,783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13,258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69,904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37,960</w:t>
            </w:r>
          </w:p>
        </w:tc>
        <w:tc>
          <w:tcPr>
            <w:tcW w:w="0" w:type="dxa"/>
            <w:vAlign w:val="bottom"/>
          </w:tcPr>
          <w:p>
            <w:pPr>
              <w:spacing w:after="0"/>
              <w:rPr>
                <w:sz w:val="1"/>
                <w:szCs w:val="1"/>
                <w:color w:val="auto"/>
              </w:rPr>
            </w:pPr>
          </w:p>
        </w:tc>
      </w:tr>
      <w:tr>
        <w:trPr>
          <w:trHeight w:val="23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56,302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209,913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103,027</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460" w:type="dxa"/>
            <w:vAlign w:val="bottom"/>
          </w:tcPr>
          <w:p>
            <w:pPr>
              <w:ind w:left="140"/>
              <w:spacing w:after="0" w:line="166" w:lineRule="exact"/>
              <w:rPr>
                <w:sz w:val="20"/>
                <w:szCs w:val="20"/>
                <w:color w:val="auto"/>
              </w:rPr>
            </w:pPr>
            <w:r>
              <w:rPr>
                <w:rFonts w:ascii="Arial" w:cs="Arial" w:eastAsia="Arial" w:hAnsi="Arial"/>
                <w:sz w:val="16"/>
                <w:szCs w:val="16"/>
                <w:color w:val="auto"/>
                <w:w w:val="94"/>
              </w:rPr>
              <w:t>Change in unrealized gain (loss) on cash flow hedges, net of income tax benefit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4"/>
                <w:szCs w:val="14"/>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9,255</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4"/>
                <w:szCs w:val="14"/>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24,962</w:t>
            </w:r>
          </w:p>
        </w:tc>
        <w:tc>
          <w:tcPr>
            <w:tcW w:w="0" w:type="dxa"/>
            <w:vAlign w:val="bottom"/>
          </w:tcPr>
          <w:p>
            <w:pPr>
              <w:spacing w:after="0"/>
              <w:rPr>
                <w:sz w:val="1"/>
                <w:szCs w:val="1"/>
                <w:color w:val="auto"/>
              </w:rPr>
            </w:pPr>
          </w:p>
        </w:tc>
      </w:tr>
      <w:tr>
        <w:trPr>
          <w:trHeight w:val="209"/>
        </w:trPr>
        <w:tc>
          <w:tcPr>
            <w:tcW w:w="5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(expense) of $8, $(1,398), $57 and $(5,917), respectively</w:t>
            </w:r>
          </w:p>
        </w:tc>
        <w:tc>
          <w:tcPr>
            <w:tcW w:w="1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24,962</w:t>
            </w:r>
          </w:p>
        </w:tc>
        <w:tc>
          <w:tcPr>
            <w:tcW w:w="0" w:type="dxa"/>
            <w:vAlign w:val="bottom"/>
          </w:tcPr>
          <w:p>
            <w:pPr>
              <w:spacing w:after="0"/>
              <w:rPr>
                <w:sz w:val="1"/>
                <w:szCs w:val="1"/>
                <w:color w:val="auto"/>
              </w:rPr>
            </w:pPr>
          </w:p>
        </w:tc>
      </w:tr>
      <w:tr>
        <w:trPr>
          <w:trHeight w:val="213"/>
        </w:trPr>
        <w:tc>
          <w:tcPr>
            <w:tcW w:w="5460" w:type="dxa"/>
            <w:vAlign w:val="bottom"/>
          </w:tcPr>
          <w:p>
            <w:pPr>
              <w:ind w:left="20"/>
              <w:spacing w:after="0"/>
              <w:rPr>
                <w:sz w:val="20"/>
                <w:szCs w:val="20"/>
                <w:color w:val="auto"/>
              </w:rPr>
            </w:pPr>
            <w:r>
              <w:rPr>
                <w:rFonts w:ascii="Arial" w:cs="Arial" w:eastAsia="Arial" w:hAnsi="Arial"/>
                <w:sz w:val="16"/>
                <w:szCs w:val="16"/>
                <w:color w:val="auto"/>
              </w:rPr>
              <w:t>NET 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56,355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48,078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209,814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127,989</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46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Earnings per share, 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60" w:type="dxa"/>
            <w:vAlign w:val="bottom"/>
          </w:tcPr>
          <w:p>
            <w:pPr>
              <w:ind w:left="140"/>
              <w:spacing w:after="0"/>
              <w:rPr>
                <w:sz w:val="20"/>
                <w:szCs w:val="20"/>
                <w:color w:val="auto"/>
              </w:rPr>
            </w:pPr>
            <w:r>
              <w:rPr>
                <w:rFonts w:ascii="Arial" w:cs="Arial" w:eastAsia="Arial" w:hAnsi="Arial"/>
                <w:sz w:val="16"/>
                <w:szCs w:val="16"/>
                <w:color w:val="auto"/>
              </w:rPr>
              <w:t>Earnings per share,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basic</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178,826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181,884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179,956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180,829</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diluted</w:t>
            </w: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180,528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183,022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181,286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181,760</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ind w:right="4700"/>
        <w:spacing w:after="0" w:line="260" w:lineRule="auto"/>
        <w:rPr>
          <w:sz w:val="20"/>
          <w:szCs w:val="20"/>
          <w:color w:val="auto"/>
        </w:rPr>
      </w:pPr>
      <w:r>
        <w:rPr>
          <w:rFonts w:ascii="Arial" w:cs="Arial" w:eastAsia="Arial" w:hAnsi="Arial"/>
          <w:sz w:val="18"/>
          <w:szCs w:val="18"/>
          <w:b w:val="1"/>
          <w:bCs w:val="1"/>
          <w:color w:val="auto"/>
        </w:rPr>
        <w:t>UNAUDITED CONDENSED CONSOLIDATED STATEMENTS OF CASH FLOWS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3640" w:type="dxa"/>
            <w:vAlign w:val="bottom"/>
            <w:tcBorders>
              <w:bottom w:val="single" w:sz="8" w:color="auto"/>
            </w:tcBorders>
            <w:gridSpan w:val="5"/>
          </w:tcPr>
          <w:p>
            <w:pPr>
              <w:jc w:val="right"/>
              <w:ind w:right="51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76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209,913</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103,027</w:t>
            </w: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46,423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49,723</w:t>
            </w:r>
          </w:p>
        </w:tc>
      </w:tr>
      <w:tr>
        <w:trPr>
          <w:trHeight w:val="21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operating lease costs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14,451</w:t>
            </w: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Deferred income taxes - net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11,767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37,631</w:t>
            </w:r>
          </w:p>
        </w:tc>
      </w:tr>
      <w:tr>
        <w:trPr>
          <w:trHeight w:val="21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3,206</w:t>
            </w: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Equity in earnings of joint ventures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(4,107)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(4,065)</w:t>
            </w:r>
          </w:p>
        </w:tc>
      </w:tr>
      <w:tr>
        <w:trPr>
          <w:trHeight w:val="21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incentive compensation expense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12,581</w:t>
            </w: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Capital distribution from equity method investments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21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adjustments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(23,153)</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(28,362)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(52,749)</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(10,335)</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50,726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129,859</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compensation and employee benefits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(26,711)</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Accrued expenses and other current liabilities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9,829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19,495</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(15,372)</w:t>
            </w:r>
          </w:p>
        </w:tc>
      </w:tr>
      <w:tr>
        <w:trPr>
          <w:trHeight w:val="21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noncurrent assets and liabilities</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(16,691)</w:t>
            </w:r>
          </w:p>
        </w:tc>
      </w:tr>
      <w:tr>
        <w:trPr>
          <w:trHeight w:val="210"/>
        </w:trPr>
        <w:tc>
          <w:tcPr>
            <w:tcW w:w="76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320,326</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224,092</w:t>
            </w:r>
          </w:p>
        </w:tc>
      </w:tr>
      <w:tr>
        <w:trPr>
          <w:trHeight w:val="199"/>
        </w:trPr>
        <w:tc>
          <w:tcPr>
            <w:tcW w:w="7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Acquisition of property and equipment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(21,981)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(17,111)</w:t>
            </w: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Business acquisitions, net of cash acquired</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(87,315)</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investing activities</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6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in investing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(40,725)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(104,426)</w:t>
            </w:r>
          </w:p>
        </w:tc>
      </w:tr>
      <w:tr>
        <w:trPr>
          <w:trHeight w:val="199"/>
        </w:trPr>
        <w:tc>
          <w:tcPr>
            <w:tcW w:w="7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Exercise of stock options, vesting of restricted stock, and related tax withholdings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(1,940)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warrant exercises</w:t>
            </w:r>
          </w:p>
        </w:tc>
        <w:tc>
          <w:tcPr>
            <w:tcW w:w="10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20,916</w:t>
            </w: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Repayments of debt principal</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(4,500)</w:t>
            </w: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company stock</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(175,108)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financing activities</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6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in) provided by financing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(187,298)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16,379</w:t>
            </w:r>
          </w:p>
        </w:tc>
      </w:tr>
      <w:tr>
        <w:trPr>
          <w:trHeight w:val="240"/>
        </w:trPr>
        <w:tc>
          <w:tcPr>
            <w:tcW w:w="7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92,303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136,045</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Cash and cash equivalents - beginning of the period</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294,186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119,423</w:t>
            </w:r>
          </w:p>
        </w:tc>
      </w:tr>
      <w:tr>
        <w:trPr>
          <w:trHeight w:val="23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386,489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255,468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Cash paid for interest</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46,377</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29,578</w:t>
            </w: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income taxes</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6,690</w:t>
            </w:r>
          </w:p>
        </w:tc>
      </w:tr>
      <w:tr>
        <w:trPr>
          <w:trHeight w:val="210"/>
        </w:trPr>
        <w:tc>
          <w:tcPr>
            <w:tcW w:w="7600" w:type="dxa"/>
            <w:vAlign w:val="bottom"/>
          </w:tcPr>
          <w:p>
            <w:pPr>
              <w:ind w:left="140"/>
              <w:spacing w:after="0"/>
              <w:rPr>
                <w:sz w:val="20"/>
                <w:szCs w:val="20"/>
                <w:color w:val="auto"/>
              </w:rPr>
            </w:pPr>
            <w:r>
              <w:rPr>
                <w:rFonts w:ascii="Arial" w:cs="Arial" w:eastAsia="Arial" w:hAnsi="Arial"/>
                <w:sz w:val="16"/>
                <w:szCs w:val="16"/>
                <w:color w:val="auto"/>
              </w:rPr>
              <w:t>Cash paid for operating leases</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20,272</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18,964</w:t>
            </w:r>
          </w:p>
        </w:tc>
      </w:tr>
    </w:tbl>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ind w:right="3540"/>
        <w:spacing w:after="0" w:line="260" w:lineRule="auto"/>
        <w:rPr>
          <w:sz w:val="20"/>
          <w:szCs w:val="20"/>
          <w:color w:val="auto"/>
        </w:rPr>
      </w:pPr>
      <w:r>
        <w:rPr>
          <w:rFonts w:ascii="Arial" w:cs="Arial" w:eastAsia="Arial" w:hAnsi="Arial"/>
          <w:sz w:val="18"/>
          <w:szCs w:val="18"/>
          <w:b w:val="1"/>
          <w:bCs w:val="1"/>
          <w:color w:val="auto"/>
        </w:rPr>
        <w:t>UNAUDITED CONDENSED CONSOLIDATED STATEMENTS OF STOCKHOLDERS’ EQUITY (IN THOUSANDS)</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Preferred</w:t>
            </w:r>
          </w:p>
        </w:tc>
        <w:tc>
          <w:tcPr>
            <w:tcW w:w="120" w:type="dxa"/>
            <w:vAlign w:val="bottom"/>
          </w:tcPr>
          <w:p>
            <w:pPr>
              <w:spacing w:after="0"/>
              <w:rPr>
                <w:sz w:val="16"/>
                <w:szCs w:val="16"/>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80" w:type="dxa"/>
            <w:vAlign w:val="bottom"/>
          </w:tcPr>
          <w:p>
            <w:pPr>
              <w:spacing w:after="0"/>
              <w:rPr>
                <w:sz w:val="16"/>
                <w:szCs w:val="16"/>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Paid-in</w:t>
            </w:r>
          </w:p>
        </w:tc>
        <w:tc>
          <w:tcPr>
            <w:tcW w:w="200" w:type="dxa"/>
            <w:vAlign w:val="bottom"/>
          </w:tcPr>
          <w:p>
            <w:pPr>
              <w:spacing w:after="0"/>
              <w:rPr>
                <w:sz w:val="16"/>
                <w:szCs w:val="16"/>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Retained</w:t>
            </w:r>
          </w:p>
        </w:tc>
        <w:tc>
          <w:tcPr>
            <w:tcW w:w="154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 Other</w:t>
            </w:r>
          </w:p>
        </w:tc>
        <w:tc>
          <w:tcPr>
            <w:tcW w:w="120" w:type="dxa"/>
            <w:vAlign w:val="bottom"/>
          </w:tcPr>
          <w:p>
            <w:pPr>
              <w:spacing w:after="0"/>
              <w:rPr>
                <w:sz w:val="16"/>
                <w:szCs w:val="16"/>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Comprehensive</w:t>
            </w:r>
          </w:p>
        </w:tc>
        <w:tc>
          <w:tcPr>
            <w:tcW w:w="120" w:type="dxa"/>
            <w:vAlign w:val="bottom"/>
          </w:tcPr>
          <w:p>
            <w:pPr>
              <w:spacing w:after="0"/>
              <w:rPr>
                <w:sz w:val="14"/>
                <w:szCs w:val="14"/>
                <w:color w:val="auto"/>
              </w:rPr>
            </w:pPr>
          </w:p>
        </w:tc>
        <w:tc>
          <w:tcPr>
            <w:tcW w:w="11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13"/>
        </w:trPr>
        <w:tc>
          <w:tcPr>
            <w:tcW w:w="2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Capital</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Earnings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7"/>
              </w:rPr>
              <w:t>Income (Loss)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1,138,855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1,175,886</w:t>
            </w:r>
          </w:p>
        </w:tc>
        <w:tc>
          <w:tcPr>
            <w:tcW w:w="0" w:type="dxa"/>
            <w:vAlign w:val="bottom"/>
          </w:tcPr>
          <w:p>
            <w:pPr>
              <w:spacing w:after="0"/>
              <w:rPr>
                <w:sz w:val="1"/>
                <w:szCs w:val="1"/>
                <w:color w:val="auto"/>
              </w:rPr>
            </w:pPr>
          </w:p>
        </w:tc>
      </w:tr>
      <w:tr>
        <w:trPr>
          <w:trHeight w:val="166"/>
        </w:trPr>
        <w:tc>
          <w:tcPr>
            <w:tcW w:w="2780" w:type="dxa"/>
            <w:vAlign w:val="bottom"/>
          </w:tcPr>
          <w:p>
            <w:pPr>
              <w:ind w:left="140"/>
              <w:spacing w:after="0" w:line="166" w:lineRule="exact"/>
              <w:rPr>
                <w:sz w:val="20"/>
                <w:szCs w:val="20"/>
                <w:color w:val="auto"/>
              </w:rPr>
            </w:pPr>
            <w:r>
              <w:rPr>
                <w:rFonts w:ascii="Arial" w:cs="Arial" w:eastAsia="Arial" w:hAnsi="Arial"/>
                <w:sz w:val="16"/>
                <w:szCs w:val="16"/>
                <w:color w:val="auto"/>
              </w:rPr>
              <w:t>Exercise of stock options, vesting of</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140"/>
              <w:spacing w:after="0" w:line="162" w:lineRule="exact"/>
              <w:rPr>
                <w:sz w:val="20"/>
                <w:szCs w:val="20"/>
                <w:color w:val="auto"/>
              </w:rPr>
            </w:pPr>
            <w:r>
              <w:rPr>
                <w:rFonts w:ascii="Arial" w:cs="Arial" w:eastAsia="Arial" w:hAnsi="Arial"/>
                <w:sz w:val="16"/>
                <w:szCs w:val="16"/>
                <w:color w:val="auto"/>
              </w:rPr>
              <w:t>restricted stock, and related tax</w:t>
            </w:r>
          </w:p>
        </w:tc>
        <w:tc>
          <w:tcPr>
            <w:tcW w:w="120" w:type="dxa"/>
            <w:vAlign w:val="bottom"/>
          </w:tcPr>
          <w:p>
            <w:pPr>
              <w:spacing w:after="0"/>
              <w:rPr>
                <w:sz w:val="14"/>
                <w:szCs w:val="14"/>
                <w:color w:val="auto"/>
              </w:rPr>
            </w:pPr>
          </w:p>
        </w:tc>
        <w:tc>
          <w:tcPr>
            <w:tcW w:w="940" w:type="dxa"/>
            <w:vAlign w:val="bottom"/>
            <w:gridSpan w:val="2"/>
            <w:vMerge w:val="restart"/>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Arial" w:cs="Arial" w:eastAsia="Arial" w:hAnsi="Arial"/>
                <w:sz w:val="16"/>
                <w:szCs w:val="16"/>
                <w:color w:val="auto"/>
              </w:rPr>
              <w:t>withholdings</w:t>
            </w: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incentive compensation</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w:t>
            </w:r>
          </w:p>
        </w:tc>
        <w:tc>
          <w:tcPr>
            <w:tcW w:w="0" w:type="dxa"/>
            <w:vAlign w:val="bottom"/>
          </w:tcPr>
          <w:p>
            <w:pPr>
              <w:spacing w:after="0"/>
              <w:rPr>
                <w:sz w:val="1"/>
                <w:szCs w:val="1"/>
                <w:color w:val="auto"/>
              </w:rPr>
            </w:pPr>
          </w:p>
        </w:tc>
      </w:tr>
      <w:tr>
        <w:trPr>
          <w:trHeight w:val="213"/>
        </w:trPr>
        <w:tc>
          <w:tcPr>
            <w:tcW w:w="27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30,275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30,275</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11,070</w:t>
            </w:r>
          </w:p>
        </w:tc>
        <w:tc>
          <w:tcPr>
            <w:tcW w:w="0" w:type="dxa"/>
            <w:vAlign w:val="bottom"/>
          </w:tcPr>
          <w:p>
            <w:pPr>
              <w:spacing w:after="0"/>
              <w:rPr>
                <w:sz w:val="1"/>
                <w:szCs w:val="1"/>
                <w:color w:val="auto"/>
              </w:rPr>
            </w:pPr>
          </w:p>
        </w:tc>
      </w:tr>
      <w:tr>
        <w:trPr>
          <w:trHeight w:val="206"/>
        </w:trPr>
        <w:tc>
          <w:tcPr>
            <w:tcW w:w="2780" w:type="dxa"/>
            <w:vAlign w:val="bottom"/>
          </w:tcPr>
          <w:p>
            <w:pPr>
              <w:ind w:left="20"/>
              <w:spacing w:after="0"/>
              <w:rPr>
                <w:sz w:val="20"/>
                <w:szCs w:val="20"/>
                <w:color w:val="auto"/>
              </w:rPr>
            </w:pPr>
            <w:r>
              <w:rPr>
                <w:rFonts w:ascii="Arial" w:cs="Arial" w:eastAsia="Arial" w:hAnsi="Arial"/>
                <w:sz w:val="16"/>
                <w:szCs w:val="16"/>
                <w:color w:val="auto"/>
              </w:rPr>
              <w:t>Balance - March 31, 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(2,403)</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1,143,388</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70,142</w:t>
            </w:r>
          </w:p>
        </w:tc>
        <w:tc>
          <w:tcPr>
            <w:tcW w:w="1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10,619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1,221,764</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Exercise of stock options, vesting of</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restricted stock, and related tax</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withholdings</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140"/>
              <w:spacing w:after="0"/>
              <w:rPr>
                <w:sz w:val="20"/>
                <w:szCs w:val="20"/>
                <w:color w:val="auto"/>
              </w:rPr>
            </w:pPr>
            <w:r>
              <w:rPr>
                <w:rFonts w:ascii="Arial" w:cs="Arial" w:eastAsia="Arial" w:hAnsi="Arial"/>
                <w:sz w:val="16"/>
                <w:szCs w:val="16"/>
                <w:color w:val="auto"/>
              </w:rPr>
              <w:t>Exercise of warrants</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20,098</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incentive compensation</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4,398</w:t>
            </w:r>
          </w:p>
        </w:tc>
        <w:tc>
          <w:tcPr>
            <w:tcW w:w="0" w:type="dxa"/>
            <w:vAlign w:val="bottom"/>
          </w:tcPr>
          <w:p>
            <w:pPr>
              <w:spacing w:after="0"/>
              <w:rPr>
                <w:sz w:val="1"/>
                <w:szCs w:val="1"/>
                <w:color w:val="auto"/>
              </w:rPr>
            </w:pPr>
          </w:p>
        </w:tc>
      </w:tr>
      <w:tr>
        <w:trPr>
          <w:trHeight w:val="213"/>
        </w:trPr>
        <w:tc>
          <w:tcPr>
            <w:tcW w:w="27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33,929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33,929</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4,637</w:t>
            </w:r>
          </w:p>
        </w:tc>
        <w:tc>
          <w:tcPr>
            <w:tcW w:w="0" w:type="dxa"/>
            <w:vAlign w:val="bottom"/>
          </w:tcPr>
          <w:p>
            <w:pPr>
              <w:spacing w:after="0"/>
              <w:rPr>
                <w:sz w:val="1"/>
                <w:szCs w:val="1"/>
                <w:color w:val="auto"/>
              </w:rPr>
            </w:pPr>
          </w:p>
        </w:tc>
      </w:tr>
      <w:tr>
        <w:trPr>
          <w:trHeight w:val="207"/>
        </w:trPr>
        <w:tc>
          <w:tcPr>
            <w:tcW w:w="2780" w:type="dxa"/>
            <w:vAlign w:val="bottom"/>
          </w:tcPr>
          <w:p>
            <w:pPr>
              <w:ind w:left="20"/>
              <w:spacing w:after="0"/>
              <w:rPr>
                <w:sz w:val="20"/>
                <w:szCs w:val="20"/>
                <w:color w:val="auto"/>
              </w:rPr>
            </w:pPr>
            <w:r>
              <w:rPr>
                <w:rFonts w:ascii="Arial" w:cs="Arial" w:eastAsia="Arial" w:hAnsi="Arial"/>
                <w:sz w:val="16"/>
                <w:szCs w:val="16"/>
                <w:color w:val="auto"/>
              </w:rPr>
              <w:t>Balance - June 30, 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(2,403)</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1,168,052</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104,071</w:t>
            </w:r>
          </w:p>
        </w:tc>
        <w:tc>
          <w:tcPr>
            <w:tcW w:w="1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15,256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1,284,994</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Exercise of stock options, vesting of</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restricted stock, and related tax</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withholdings</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140"/>
              <w:spacing w:after="0"/>
              <w:rPr>
                <w:sz w:val="20"/>
                <w:szCs w:val="20"/>
                <w:color w:val="auto"/>
              </w:rPr>
            </w:pPr>
            <w:r>
              <w:rPr>
                <w:rFonts w:ascii="Arial" w:cs="Arial" w:eastAsia="Arial" w:hAnsi="Arial"/>
                <w:sz w:val="16"/>
                <w:szCs w:val="16"/>
                <w:color w:val="auto"/>
              </w:rPr>
              <w:t>Exercise of warrants</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incentive compensation</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w:t>
            </w:r>
          </w:p>
        </w:tc>
        <w:tc>
          <w:tcPr>
            <w:tcW w:w="0" w:type="dxa"/>
            <w:vAlign w:val="bottom"/>
          </w:tcPr>
          <w:p>
            <w:pPr>
              <w:spacing w:after="0"/>
              <w:rPr>
                <w:sz w:val="1"/>
                <w:szCs w:val="1"/>
                <w:color w:val="auto"/>
              </w:rPr>
            </w:pPr>
          </w:p>
        </w:tc>
      </w:tr>
      <w:tr>
        <w:trPr>
          <w:trHeight w:val="213"/>
        </w:trPr>
        <w:tc>
          <w:tcPr>
            <w:tcW w:w="27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38,823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38,823</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9,255</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Balance - September 30, 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(2,403)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1,172,315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142,894</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24,511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1,337,335</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Balance - December 31, 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(2,403)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1,176,906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190,423</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21,159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1,386,103</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Exercise of stock options, vesting of</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restricted stock, and related tax</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(1,902)</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withholdings</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140"/>
              <w:spacing w:after="0"/>
              <w:rPr>
                <w:sz w:val="20"/>
                <w:szCs w:val="20"/>
                <w:color w:val="auto"/>
              </w:rPr>
            </w:pPr>
            <w:r>
              <w:rPr>
                <w:rFonts w:ascii="Arial" w:cs="Arial" w:eastAsia="Arial" w:hAnsi="Arial"/>
                <w:sz w:val="16"/>
                <w:szCs w:val="16"/>
                <w:color w:val="auto"/>
              </w:rPr>
              <w:t>Stock-based incentive compensation</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5,988</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company stock</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(75,735)</w:t>
            </w:r>
          </w:p>
        </w:tc>
        <w:tc>
          <w:tcPr>
            <w:tcW w:w="0" w:type="dxa"/>
            <w:vAlign w:val="bottom"/>
          </w:tcPr>
          <w:p>
            <w:pPr>
              <w:spacing w:after="0"/>
              <w:rPr>
                <w:sz w:val="1"/>
                <w:szCs w:val="1"/>
                <w:color w:val="auto"/>
              </w:rPr>
            </w:pPr>
          </w:p>
        </w:tc>
      </w:tr>
      <w:tr>
        <w:trPr>
          <w:trHeight w:val="213"/>
        </w:trPr>
        <w:tc>
          <w:tcPr>
            <w:tcW w:w="27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39,208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39,208</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(3,443)</w:t>
            </w:r>
          </w:p>
        </w:tc>
        <w:tc>
          <w:tcPr>
            <w:tcW w:w="0" w:type="dxa"/>
            <w:vAlign w:val="bottom"/>
          </w:tcPr>
          <w:p>
            <w:pPr>
              <w:spacing w:after="0"/>
              <w:rPr>
                <w:sz w:val="1"/>
                <w:szCs w:val="1"/>
                <w:color w:val="auto"/>
              </w:rPr>
            </w:pPr>
          </w:p>
        </w:tc>
      </w:tr>
      <w:tr>
        <w:trPr>
          <w:trHeight w:val="206"/>
        </w:trPr>
        <w:tc>
          <w:tcPr>
            <w:tcW w:w="2780" w:type="dxa"/>
            <w:vAlign w:val="bottom"/>
          </w:tcPr>
          <w:p>
            <w:pPr>
              <w:ind w:left="20"/>
              <w:spacing w:after="0"/>
              <w:rPr>
                <w:sz w:val="20"/>
                <w:szCs w:val="20"/>
                <w:color w:val="auto"/>
              </w:rPr>
            </w:pPr>
            <w:r>
              <w:rPr>
                <w:rFonts w:ascii="Arial" w:cs="Arial" w:eastAsia="Arial" w:hAnsi="Arial"/>
                <w:sz w:val="16"/>
                <w:szCs w:val="16"/>
                <w:color w:val="auto"/>
              </w:rPr>
              <w:t>Balance - March 31, 2023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(78,138)</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1,180,992</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229,631</w:t>
            </w:r>
          </w:p>
        </w:tc>
        <w:tc>
          <w:tcPr>
            <w:tcW w:w="1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17,716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1,350,219</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Exercise of stock options, vesting of</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restricted stock, and related tax</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withholdings</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140"/>
              <w:spacing w:after="0"/>
              <w:rPr>
                <w:sz w:val="20"/>
                <w:szCs w:val="20"/>
                <w:color w:val="auto"/>
              </w:rPr>
            </w:pPr>
            <w:r>
              <w:rPr>
                <w:rFonts w:ascii="Arial" w:cs="Arial" w:eastAsia="Arial" w:hAnsi="Arial"/>
                <w:sz w:val="16"/>
                <w:szCs w:val="16"/>
                <w:color w:val="auto"/>
              </w:rPr>
              <w:t>Stock-based incentive compensation</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7,685</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1"/>
              </w:rPr>
              <w:t>Purchase of company stock, and related</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ind w:left="56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effects</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114,403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114,403</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3,291</w:t>
            </w:r>
          </w:p>
        </w:tc>
        <w:tc>
          <w:tcPr>
            <w:tcW w:w="0" w:type="dxa"/>
            <w:vAlign w:val="bottom"/>
          </w:tcPr>
          <w:p>
            <w:pPr>
              <w:spacing w:after="0"/>
              <w:rPr>
                <w:sz w:val="1"/>
                <w:szCs w:val="1"/>
                <w:color w:val="auto"/>
              </w:rPr>
            </w:pPr>
          </w:p>
        </w:tc>
      </w:tr>
      <w:tr>
        <w:trPr>
          <w:trHeight w:val="207"/>
        </w:trPr>
        <w:tc>
          <w:tcPr>
            <w:tcW w:w="2780" w:type="dxa"/>
            <w:vAlign w:val="bottom"/>
          </w:tcPr>
          <w:p>
            <w:pPr>
              <w:ind w:left="20"/>
              <w:spacing w:after="0"/>
              <w:rPr>
                <w:sz w:val="20"/>
                <w:szCs w:val="20"/>
                <w:color w:val="auto"/>
              </w:rPr>
            </w:pPr>
            <w:r>
              <w:rPr>
                <w:rFonts w:ascii="Arial" w:cs="Arial" w:eastAsia="Arial" w:hAnsi="Arial"/>
                <w:sz w:val="16"/>
                <w:szCs w:val="16"/>
                <w:color w:val="auto"/>
              </w:rPr>
              <w:t>Balance - June 30, 2023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(78,106)</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1,188,430</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344,034</w:t>
            </w:r>
          </w:p>
        </w:tc>
        <w:tc>
          <w:tcPr>
            <w:tcW w:w="1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21,007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1,475,383</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Exercise of stock options, vesting of</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restricted stock, and related tax</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withholdings</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140"/>
              <w:spacing w:after="0"/>
              <w:rPr>
                <w:sz w:val="20"/>
                <w:szCs w:val="20"/>
                <w:color w:val="auto"/>
              </w:rPr>
            </w:pPr>
            <w:r>
              <w:rPr>
                <w:rFonts w:ascii="Arial" w:cs="Arial" w:eastAsia="Arial" w:hAnsi="Arial"/>
                <w:sz w:val="16"/>
                <w:szCs w:val="16"/>
                <w:color w:val="auto"/>
              </w:rPr>
              <w:t>Stock-based incentive compensation</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9,235</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1"/>
              </w:rPr>
              <w:t>Purchase of company stock, and related</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(101,099)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(101,099)</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effects</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56,302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56,302</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Balance - September 30, 2023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(179,205)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1,197,874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400,336</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21,060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1,440,083</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PRESENTATION OF FINANCIAL STATEMENTS</w:t>
      </w:r>
    </w:p>
    <w:p>
      <w:pPr>
        <w:spacing w:after="0" w:line="185" w:lineRule="exact"/>
        <w:rPr>
          <w:sz w:val="20"/>
          <w:szCs w:val="20"/>
          <w:color w:val="auto"/>
        </w:rPr>
      </w:pPr>
    </w:p>
    <w:p>
      <w:pPr>
        <w:ind w:firstLine="324"/>
        <w:spacing w:after="0" w:line="289" w:lineRule="auto"/>
        <w:rPr>
          <w:sz w:val="20"/>
          <w:szCs w:val="20"/>
          <w:color w:val="auto"/>
        </w:rPr>
      </w:pPr>
      <w:r>
        <w:rPr>
          <w:rFonts w:ascii="Arial" w:cs="Arial" w:eastAsia="Arial" w:hAnsi="Arial"/>
          <w:sz w:val="17"/>
          <w:szCs w:val="17"/>
          <w:b w:val="1"/>
          <w:bCs w:val="1"/>
          <w:color w:val="auto"/>
        </w:rPr>
        <w:t xml:space="preserve">Corporate Organization and Business </w:t>
      </w:r>
      <w:r>
        <w:rPr>
          <w:rFonts w:ascii="Arial" w:cs="Arial" w:eastAsia="Arial" w:hAnsi="Arial"/>
          <w:sz w:val="17"/>
          <w:szCs w:val="17"/>
          <w:color w:val="auto"/>
        </w:rPr>
        <w:t>— HC Group Holdings II, Inc. (“HC II”) was incorporated under the laws of the State of Delaware on January</w:t>
      </w:r>
      <w:r>
        <w:rPr>
          <w:rFonts w:ascii="Arial" w:cs="Arial" w:eastAsia="Arial" w:hAnsi="Arial"/>
          <w:sz w:val="17"/>
          <w:szCs w:val="17"/>
          <w:b w:val="1"/>
          <w:bCs w:val="1"/>
          <w:color w:val="auto"/>
        </w:rPr>
        <w:t xml:space="preserve"> </w:t>
      </w:r>
      <w:r>
        <w:rPr>
          <w:rFonts w:ascii="Arial" w:cs="Arial" w:eastAsia="Arial" w:hAnsi="Arial"/>
          <w:sz w:val="17"/>
          <w:szCs w:val="17"/>
          <w:color w:val="auto"/>
        </w:rPr>
        <w:t>7, 2015, with its sole shareholder being HC Group Holdings I, LLC. (“HC I”). On April 7, 2015, HC I and HC II collectively acquired Walgreens Infusion Services, Inc. and its subsidiaries from Walgreen Co., and the business was rebranded as Option Care, Inc. (“Option Care”).</w:t>
      </w:r>
    </w:p>
    <w:p>
      <w:pPr>
        <w:spacing w:after="0" w:line="12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 xml:space="preserve">On March 14, 2019, HC I and HC II entered into a definitive agreement (the “Merger Agreement”) to merge with and into a wholly-owned subsidiary of BioScrip, Inc. (“BioScrip”) (the “Merger”), a national provider of infusion and home care management solutions, which was completed on August 6, 2019 (the “Merger Date”). Following the close of the transaction, BioScrip was rebranded as Option Care Health. The combined Company’s stock is listed on the Nasdaq Global Select Market as of September 30, 2023. During the nine months ended September 30, 2023, HC I completed sales of 23,771,926 shares of common stock. In addition, the Company repurchased 2,475,166 shares from HC I on March 3, 2023 under the Company’s share repurchase program. See Note 15, </w:t>
      </w:r>
      <w:r>
        <w:rPr>
          <w:rFonts w:ascii="Arial" w:cs="Arial" w:eastAsia="Arial" w:hAnsi="Arial"/>
          <w:sz w:val="17"/>
          <w:szCs w:val="17"/>
          <w:i w:val="1"/>
          <w:iCs w:val="1"/>
          <w:color w:val="auto"/>
        </w:rPr>
        <w:t>Stockholders’ Equity</w:t>
      </w:r>
      <w:r>
        <w:rPr>
          <w:rFonts w:ascii="Arial" w:cs="Arial" w:eastAsia="Arial" w:hAnsi="Arial"/>
          <w:sz w:val="17"/>
          <w:szCs w:val="17"/>
          <w:color w:val="auto"/>
        </w:rPr>
        <w:t>, for further discussion of the Company’s share repurchase program. As of September 30, 2023, HC I no longer holds shares of the Company’s common stock.</w:t>
      </w:r>
    </w:p>
    <w:p>
      <w:pPr>
        <w:spacing w:after="0" w:line="150"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Option Care Health, and its wholly-owned subsidiaries, provides infusion therapy and other ancillary health care services through a national network of 93 full service pharmacies and 81 stand-alone ambulatory infusion suites.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w:t>
      </w:r>
    </w:p>
    <w:p>
      <w:pPr>
        <w:spacing w:after="0" w:line="127"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 The accompanying unaudited condensed consolidated financial statements have been prepared in conformity with generally</w:t>
      </w:r>
      <w:r>
        <w:rPr>
          <w:rFonts w:ascii="Arial" w:cs="Arial" w:eastAsia="Arial" w:hAnsi="Arial"/>
          <w:sz w:val="16"/>
          <w:szCs w:val="16"/>
          <w:b w:val="1"/>
          <w:bCs w:val="1"/>
          <w:color w:val="auto"/>
        </w:rPr>
        <w:t xml:space="preserve"> </w:t>
      </w:r>
      <w:r>
        <w:rPr>
          <w:rFonts w:ascii="Arial" w:cs="Arial" w:eastAsia="Arial" w:hAnsi="Arial"/>
          <w:sz w:val="16"/>
          <w:szCs w:val="16"/>
          <w:color w:val="auto"/>
        </w:rPr>
        <w:t>accepted accounting principles (“GAAP”) in the United States and contain all adjustments, including normal recurring adjustments, necessary to present fairly the Company’s financial position, results of operations and cash flows for interim financial reporting. The results of operations for the interim periods presented are not necessarily indicative of the results of operations for the entire year. These unaudited condensed consolidated financial statements do not include all of the information and notes to the financial statements required by GAAP for complete financial statements and should be read in conjunction with the 2022 audited consolidated financial statements, including the notes thereto, as presented in our Form 10-K.</w:t>
      </w:r>
    </w:p>
    <w:p>
      <w:pPr>
        <w:spacing w:after="0" w:line="119" w:lineRule="exact"/>
        <w:rPr>
          <w:sz w:val="20"/>
          <w:szCs w:val="20"/>
          <w:color w:val="auto"/>
        </w:rPr>
      </w:pPr>
    </w:p>
    <w:p>
      <w:pPr>
        <w:ind w:right="220" w:firstLine="324"/>
        <w:spacing w:after="0" w:line="282"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Company’s unaudited condensed consolidated financial statements include the accounts of Option Care Health,</w:t>
      </w:r>
      <w:r>
        <w:rPr>
          <w:rFonts w:ascii="Arial" w:cs="Arial" w:eastAsia="Arial" w:hAnsi="Arial"/>
          <w:sz w:val="18"/>
          <w:szCs w:val="18"/>
          <w:b w:val="1"/>
          <w:bCs w:val="1"/>
          <w:color w:val="auto"/>
        </w:rPr>
        <w:t xml:space="preserve"> </w:t>
      </w:r>
      <w:r>
        <w:rPr>
          <w:rFonts w:ascii="Arial" w:cs="Arial" w:eastAsia="Arial" w:hAnsi="Arial"/>
          <w:sz w:val="18"/>
          <w:szCs w:val="18"/>
          <w:color w:val="auto"/>
        </w:rPr>
        <w:t>Inc. and its subsidiaries. All intercompany transactions and balances are eliminated in consolidation.</w:t>
      </w:r>
    </w:p>
    <w:p>
      <w:pPr>
        <w:spacing w:after="0" w:line="13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The Company has investments in companies that are 50% owned and are accounted for as equity-method investments. The Company’s share of earnings from equity-method investments is included in the line entitled “Equity in earnings of joint ventures” in the unaudited condensed consolidated statements of comprehensive income. See Equity-Method Investments within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further discussion of the Company’s equity-method investments.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98" w:lineRule="exact"/>
        <w:rPr>
          <w:sz w:val="20"/>
          <w:szCs w:val="20"/>
          <w:color w:val="auto"/>
        </w:rPr>
      </w:pPr>
    </w:p>
    <w:p>
      <w:pPr>
        <w:ind w:right="480" w:firstLine="324"/>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The Company considers all highly liquid investments with original maturities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As of September 30, 2023, cash equivalents consisted of money market funds.</w:t>
      </w:r>
    </w:p>
    <w:p>
      <w:pPr>
        <w:spacing w:after="0" w:line="121" w:lineRule="exact"/>
        <w:rPr>
          <w:sz w:val="20"/>
          <w:szCs w:val="20"/>
          <w:color w:val="auto"/>
        </w:rPr>
      </w:pPr>
    </w:p>
    <w:p>
      <w:pPr>
        <w:ind w:right="240" w:firstLine="324"/>
        <w:spacing w:after="0" w:line="347" w:lineRule="auto"/>
        <w:rPr>
          <w:sz w:val="20"/>
          <w:szCs w:val="20"/>
          <w:color w:val="auto"/>
        </w:rPr>
      </w:pPr>
      <w:r>
        <w:rPr>
          <w:rFonts w:ascii="Arial" w:cs="Arial" w:eastAsia="Arial" w:hAnsi="Arial"/>
          <w:sz w:val="16"/>
          <w:szCs w:val="16"/>
          <w:b w:val="1"/>
          <w:bCs w:val="1"/>
          <w:color w:val="auto"/>
        </w:rPr>
        <w:t xml:space="preserve">Prepaid Expenses and Other Current Assets </w:t>
      </w:r>
      <w:r>
        <w:rPr>
          <w:rFonts w:ascii="Arial" w:cs="Arial" w:eastAsia="Arial" w:hAnsi="Arial"/>
          <w:sz w:val="16"/>
          <w:szCs w:val="16"/>
          <w:color w:val="auto"/>
        </w:rPr>
        <w:t>— Included in prepaid expenses and other current assets are rebates receivable from 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and medical supply manufacturers of $51.0 million and $53.4 million as of September 30, 2023 and December 31, 2022, respectively.</w:t>
      </w:r>
    </w:p>
    <w:p>
      <w:pPr>
        <w:spacing w:after="0" w:line="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b w:val="1"/>
          <w:bCs w:val="1"/>
          <w:color w:val="auto"/>
        </w:rPr>
        <w:t xml:space="preserve">Equity-Method Investments </w:t>
      </w:r>
      <w:r>
        <w:rPr>
          <w:rFonts w:ascii="Arial" w:cs="Arial" w:eastAsia="Arial" w:hAnsi="Arial"/>
          <w:sz w:val="17"/>
          <w:szCs w:val="17"/>
          <w:color w:val="auto"/>
        </w:rPr>
        <w:t>— The Company’s investments in certain unconsolidated entities are accounted for under the equity method.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balance of these investments is included in other noncurrent assets in the accompanying condensed consolidated balance sheets. As of September 30, 2023 and December 31, 2022, the balance of the investments was $19.5 million and $19.4 million, respectively. The balance of these investments is increased to reflect the Company’s capital contributions and equity in earnings of the investees. The balance of these investments is decreased to reflect the Company’s equity in losses of the investees and for distributions received that are not in excess of the carrying amount of the investments. The Company’s proportionate share of earnings or losses of the investees is recorded in equity in earnings of joint ventures in the accompanying unaudited condensed consolidated statements of comprehensive income. The Company’s proportionate share of earnings was $1.3 million and $4.1 million for the three and nine months ended September 30, 2023, respectively. The Company’s proportionate share of earnings was $1.5 million and $4.1 million for the three and nine months ended September 30, 2022, respectively. Distributions from the investees are treated as cash inflows from operating activities in the unaudited condensed consolidated statements of cash flows. During the three and nine months ended September 30, 2023, the Company received distributions from the investees of $1.5 million and $4.0 million, respectively. During the three and nine months ended September 30, 2022, the Company received distributions from the investees of $1.5 million and $2.5 million, respectively. See Note 16, </w:t>
      </w:r>
      <w:r>
        <w:rPr>
          <w:rFonts w:ascii="Arial" w:cs="Arial" w:eastAsia="Arial" w:hAnsi="Arial"/>
          <w:sz w:val="17"/>
          <w:szCs w:val="17"/>
          <w:i w:val="1"/>
          <w:iCs w:val="1"/>
          <w:color w:val="auto"/>
        </w:rPr>
        <w:t>Related-Party Transactions</w:t>
      </w:r>
      <w:r>
        <w:rPr>
          <w:rFonts w:ascii="Arial" w:cs="Arial" w:eastAsia="Arial" w:hAnsi="Arial"/>
          <w:sz w:val="17"/>
          <w:szCs w:val="17"/>
          <w:color w:val="auto"/>
        </w:rPr>
        <w:t>, for discussion of related-party transactions with these investees.</w:t>
      </w:r>
    </w:p>
    <w:p>
      <w:pPr>
        <w:spacing w:after="0" w:line="149" w:lineRule="exact"/>
        <w:rPr>
          <w:sz w:val="20"/>
          <w:szCs w:val="20"/>
          <w:color w:val="auto"/>
        </w:rPr>
      </w:pPr>
    </w:p>
    <w:p>
      <w:pPr>
        <w:ind w:firstLine="324"/>
        <w:spacing w:after="0" w:line="281" w:lineRule="auto"/>
        <w:rPr>
          <w:sz w:val="20"/>
          <w:szCs w:val="20"/>
          <w:color w:val="auto"/>
        </w:rPr>
      </w:pPr>
      <w:r>
        <w:rPr>
          <w:rFonts w:ascii="Arial" w:cs="Arial" w:eastAsia="Arial" w:hAnsi="Arial"/>
          <w:sz w:val="17"/>
          <w:szCs w:val="17"/>
          <w:b w:val="1"/>
          <w:bCs w:val="1"/>
          <w:color w:val="auto"/>
        </w:rPr>
        <w:t xml:space="preserve">Concentrations of Business Risk </w:t>
      </w:r>
      <w:r>
        <w:rPr>
          <w:rFonts w:ascii="Arial" w:cs="Arial" w:eastAsia="Arial" w:hAnsi="Arial"/>
          <w:sz w:val="17"/>
          <w:szCs w:val="17"/>
          <w:color w:val="auto"/>
        </w:rPr>
        <w:t>— The Company generates revenue from managed care contracts and other agreements with commercial third-party</w:t>
      </w:r>
      <w:r>
        <w:rPr>
          <w:rFonts w:ascii="Arial" w:cs="Arial" w:eastAsia="Arial" w:hAnsi="Arial"/>
          <w:sz w:val="17"/>
          <w:szCs w:val="17"/>
          <w:b w:val="1"/>
          <w:bCs w:val="1"/>
          <w:color w:val="auto"/>
        </w:rPr>
        <w:t xml:space="preserve"> </w:t>
      </w:r>
      <w:r>
        <w:rPr>
          <w:rFonts w:ascii="Arial" w:cs="Arial" w:eastAsia="Arial" w:hAnsi="Arial"/>
          <w:sz w:val="17"/>
          <w:szCs w:val="17"/>
          <w:color w:val="auto"/>
        </w:rPr>
        <w:t>payers. Revenue related to the Company’s largest payer was approximately 14% for the three and nine months ended September 30, 2023. Revenue related to the Company’s largest payer was approximately 14% and 15% for the three and nine months ended September 30, 2022, respectively. There were no other managed care contracts that represent greater than 10% of revenue for the periods presented.</w:t>
      </w:r>
    </w:p>
    <w:p>
      <w:pPr>
        <w:spacing w:after="0" w:line="128"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For the three and nine months ended September 30, 2023, approximately 11% and 12%, respectively, of the Company’s revenue was reimbursable through direct government healthcare programs, such as Medicare and Medicaid. For the three and nine months ended September 30, 2022, approximately 12% of the Company’s revenue was reimbursable through direct government healthcare programs, such as Medicare and Medicaid. As of September 30, 2023 and December 31, 2022, approximately 11% and 13%, respectively, of the Company’s accounts receivable was related to these programs. Governmental programs pay for services based on fee schedules and rates that are determined by the related governmental agency. Laws and regulations pertaining to government programs are complex and subject to interpretation. As a result, there is at least a reasonable possibility that recorded estimates will change in the near term.</w:t>
      </w:r>
    </w:p>
    <w:p>
      <w:pPr>
        <w:spacing w:after="0" w:line="15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does not require its patients or other payers to carry collateral for any amounts owed for goods or services provided. Other than as discussed above, concentration of credit risk relating to trade accounts receivable is limited due to the Company’s diversity of patients and payers. Further, the Company generally does not provide charity care; however, Option Care Health offers a financial assistance program for patients that meet certain defined hardship criteria.</w:t>
      </w:r>
    </w:p>
    <w:p>
      <w:pPr>
        <w:spacing w:after="0" w:line="160"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For the three and nine months ended September 30, 2023, approximately 73% of the Company’s pharmaceutical and medical supply purchases were from four vendors. For the three and nine months ended September 30, 2022, approximately 74% and 73%, respectively, of the Company’s pharmaceutical and medical supply purchases were from four vendors. Although there are a limited number of suppliers, the Company believes that other vendors could provide similar products on comparable terms. However, a change in suppliers could cause delays in service delivery and possible losses in revenue, which could adversely affect the Company’s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198"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b w:val="1"/>
          <w:bCs w:val="1"/>
          <w:color w:val="auto"/>
        </w:rPr>
        <w:t xml:space="preserve">Amedisys, Inc. — </w:t>
      </w:r>
      <w:r>
        <w:rPr>
          <w:rFonts w:ascii="Arial" w:cs="Arial" w:eastAsia="Arial" w:hAnsi="Arial"/>
          <w:sz w:val="18"/>
          <w:szCs w:val="18"/>
          <w:color w:val="auto"/>
        </w:rPr>
        <w:t>On May 3, 2023, the Company entered into a definitive merger agreement (the “Merger Agreement”) with Amedisys, Inc.</w:t>
      </w:r>
      <w:r>
        <w:rPr>
          <w:rFonts w:ascii="Arial" w:cs="Arial" w:eastAsia="Arial" w:hAnsi="Arial"/>
          <w:sz w:val="18"/>
          <w:szCs w:val="18"/>
          <w:b w:val="1"/>
          <w:bCs w:val="1"/>
          <w:color w:val="auto"/>
        </w:rPr>
        <w:t xml:space="preserve"> </w:t>
      </w:r>
      <w:r>
        <w:rPr>
          <w:rFonts w:ascii="Arial" w:cs="Arial" w:eastAsia="Arial" w:hAnsi="Arial"/>
          <w:sz w:val="18"/>
          <w:szCs w:val="18"/>
          <w:color w:val="auto"/>
        </w:rPr>
        <w:t>(“Amedisys”), a leading provider of healthcare in home health and hospice settings. Under the terms of the merger agreement, the Company would issue new shares of its common stock to Amedisys’s stockholders, which would result in the Company’s stockholders holding approximately 64.5% of the combined company.</w:t>
      </w:r>
    </w:p>
    <w:p>
      <w:pPr>
        <w:spacing w:after="0" w:line="14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On June 26, 2023, the Company entered into an agreement to terminate the Merger Agreement (the “Mutual Termination Agreement”). Under the terms of the Mutual Termination Agreement, the Company received a payment of $106.0 million in cash on behalf of Amedisys (“Termination Fee”). The Termination Fee is included in Other, net in the unaudited condensed consolidated statements of comprehensive income and in Net cash provided by operating activities in the unaudited condensed consolidated statements of cash flows.</w:t>
      </w:r>
    </w:p>
    <w:p>
      <w:pPr>
        <w:spacing w:after="0" w:line="146"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During the nine months ended September 30, 2023, the Company incurred $21.1 million in merger-related expenses, which are included in Other, net in the unaudited condensed consolidated statements of comprehensive income and in Net cash provided by operating activities in the unaudited condensed consolidated statements of cash flows.</w:t>
      </w:r>
    </w:p>
    <w:p>
      <w:pPr>
        <w:spacing w:after="0" w:line="153" w:lineRule="exact"/>
        <w:rPr>
          <w:sz w:val="20"/>
          <w:szCs w:val="20"/>
          <w:color w:val="auto"/>
        </w:rPr>
      </w:pPr>
    </w:p>
    <w:p>
      <w:pPr>
        <w:ind w:right="40" w:firstLine="324"/>
        <w:spacing w:after="0" w:line="289" w:lineRule="auto"/>
        <w:rPr>
          <w:sz w:val="20"/>
          <w:szCs w:val="20"/>
          <w:color w:val="auto"/>
        </w:rPr>
      </w:pPr>
      <w:r>
        <w:rPr>
          <w:rFonts w:ascii="Arial" w:cs="Arial" w:eastAsia="Arial" w:hAnsi="Arial"/>
          <w:sz w:val="17"/>
          <w:szCs w:val="17"/>
          <w:b w:val="1"/>
          <w:bCs w:val="1"/>
          <w:color w:val="auto"/>
        </w:rPr>
        <w:t xml:space="preserve">Revitalized, LLC — </w:t>
      </w:r>
      <w:r>
        <w:rPr>
          <w:rFonts w:ascii="Arial" w:cs="Arial" w:eastAsia="Arial" w:hAnsi="Arial"/>
          <w:sz w:val="17"/>
          <w:szCs w:val="17"/>
          <w:color w:val="auto"/>
        </w:rPr>
        <w:t>In May 2023, pursuant to the equity purchase agreement dated May 1, 2023, the Company completed the acquisition of 100% of</w:t>
      </w:r>
      <w:r>
        <w:rPr>
          <w:rFonts w:ascii="Arial" w:cs="Arial" w:eastAsia="Arial" w:hAnsi="Arial"/>
          <w:sz w:val="17"/>
          <w:szCs w:val="17"/>
          <w:b w:val="1"/>
          <w:bCs w:val="1"/>
          <w:color w:val="auto"/>
        </w:rPr>
        <w:t xml:space="preserve"> </w:t>
      </w:r>
      <w:r>
        <w:rPr>
          <w:rFonts w:ascii="Arial" w:cs="Arial" w:eastAsia="Arial" w:hAnsi="Arial"/>
          <w:sz w:val="17"/>
          <w:szCs w:val="17"/>
          <w:color w:val="auto"/>
        </w:rPr>
        <w:t>the membership interests in Revitalized, LLC (“Revitalized”) for a purchase price, net of cash acquired, of $12.5 million, inclusive of a $0.4 million non-cash receivable adjustment, which primarily consisted of $6.7 million of goodwill and $5.5 million of intangible assets.</w:t>
      </w:r>
    </w:p>
    <w:p>
      <w:pPr>
        <w:spacing w:after="0" w:line="117" w:lineRule="exact"/>
        <w:rPr>
          <w:sz w:val="20"/>
          <w:szCs w:val="20"/>
          <w:color w:val="auto"/>
        </w:rPr>
      </w:pPr>
    </w:p>
    <w:p>
      <w:pPr>
        <w:ind w:right="500" w:firstLine="324"/>
        <w:spacing w:after="0" w:line="347" w:lineRule="auto"/>
        <w:rPr>
          <w:sz w:val="20"/>
          <w:szCs w:val="20"/>
          <w:color w:val="auto"/>
        </w:rPr>
      </w:pPr>
      <w:r>
        <w:rPr>
          <w:rFonts w:ascii="Arial" w:cs="Arial" w:eastAsia="Arial" w:hAnsi="Arial"/>
          <w:sz w:val="16"/>
          <w:szCs w:val="16"/>
          <w:b w:val="1"/>
          <w:bCs w:val="1"/>
          <w:color w:val="auto"/>
        </w:rPr>
        <w:t xml:space="preserve">Rochester Home Infusion, Inc. — </w:t>
      </w:r>
      <w:r>
        <w:rPr>
          <w:rFonts w:ascii="Arial" w:cs="Arial" w:eastAsia="Arial" w:hAnsi="Arial"/>
          <w:sz w:val="16"/>
          <w:szCs w:val="16"/>
          <w:color w:val="auto"/>
        </w:rPr>
        <w:t>In August 2022, pursuant to the stock purchase agreement dated June 10, 2022, the Company completed the</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of 100% of the equity interests in Rochester Home Infusion, Inc. (“RHI”) for a purchase price, net of cash acquired, of $27.4 million.</w:t>
      </w:r>
    </w:p>
    <w:p>
      <w:pPr>
        <w:spacing w:after="0" w:line="79"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 xml:space="preserve">The allocation of the purchase price of RHI was accounted for as a business combination in accordance with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with the total purchase price being allocated to the assets and liabilities acquired based on the relative fair value of each asset and liability. The following is a final allocation of the consideration transferred to acquired identifiable assets and assumed liabilities, net of cash acquired (in thousands):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90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Amount</w:t>
            </w:r>
          </w:p>
        </w:tc>
      </w:tr>
      <w:tr>
        <w:trPr>
          <w:trHeight w:val="213"/>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r>
      <w:tr>
        <w:trPr>
          <w:trHeight w:val="213"/>
        </w:trPr>
        <w:tc>
          <w:tcPr>
            <w:tcW w:w="902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4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5,449</w:t>
            </w:r>
          </w:p>
        </w:tc>
      </w:t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r>
      <w:tr>
        <w:trPr>
          <w:trHeight w:val="213"/>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Accounts payable and other liabilities</w:t>
            </w:r>
          </w:p>
        </w:tc>
        <w:tc>
          <w:tcPr>
            <w:tcW w:w="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r>
      <w:tr>
        <w:trPr>
          <w:trHeight w:val="213"/>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identifiable assets and liabilities</w:t>
            </w: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6,095</w:t>
            </w:r>
          </w:p>
        </w:tc>
      </w:tr>
      <w:tr>
        <w:trPr>
          <w:trHeight w:val="213"/>
        </w:trPr>
        <w:tc>
          <w:tcPr>
            <w:tcW w:w="9020" w:type="dxa"/>
            <w:vAlign w:val="bottom"/>
          </w:tcPr>
          <w:p>
            <w:pPr>
              <w:ind w:left="20"/>
              <w:spacing w:after="0"/>
              <w:rPr>
                <w:sz w:val="20"/>
                <w:szCs w:val="20"/>
                <w:color w:val="auto"/>
              </w:rPr>
            </w:pPr>
            <w:r>
              <w:rPr>
                <w:rFonts w:ascii="Arial" w:cs="Arial" w:eastAsia="Arial" w:hAnsi="Arial"/>
                <w:sz w:val="16"/>
                <w:szCs w:val="16"/>
                <w:color w:val="auto"/>
              </w:rPr>
              <w:t>Goodwill (1)</w:t>
            </w:r>
          </w:p>
        </w:tc>
        <w:tc>
          <w:tcPr>
            <w:tcW w:w="4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21,323</w:t>
            </w:r>
          </w:p>
        </w:tc>
      </w:t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acquired</w:t>
            </w:r>
          </w:p>
        </w:tc>
        <w:tc>
          <w:tcPr>
            <w:tcW w:w="4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06"/>
        </w:trPr>
        <w:tc>
          <w:tcPr>
            <w:tcW w:w="9020" w:type="dxa"/>
            <w:vAlign w:val="bottom"/>
          </w:tcPr>
          <w:p>
            <w:pPr>
              <w:ind w:left="20"/>
              <w:spacing w:after="0"/>
              <w:rPr>
                <w:sz w:val="20"/>
                <w:szCs w:val="20"/>
                <w:color w:val="auto"/>
              </w:rPr>
            </w:pPr>
            <w:r>
              <w:rPr>
                <w:rFonts w:ascii="Arial" w:cs="Arial" w:eastAsia="Arial" w:hAnsi="Arial"/>
                <w:sz w:val="16"/>
                <w:szCs w:val="16"/>
                <w:color w:val="auto"/>
              </w:rPr>
              <w:t>Purchase price</w:t>
            </w:r>
          </w:p>
        </w:tc>
        <w:tc>
          <w:tcPr>
            <w:tcW w:w="4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27,619</w:t>
            </w:r>
          </w:p>
        </w:tc>
      </w:tr>
      <w:tr>
        <w:trPr>
          <w:trHeight w:val="216"/>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cash acquired</w:t>
            </w:r>
          </w:p>
        </w:tc>
        <w:tc>
          <w:tcPr>
            <w:tcW w:w="4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12"/>
        </w:trPr>
        <w:tc>
          <w:tcPr>
            <w:tcW w:w="9020" w:type="dxa"/>
            <w:vAlign w:val="bottom"/>
          </w:tcPr>
          <w:p>
            <w:pPr>
              <w:ind w:left="20"/>
              <w:spacing w:after="0"/>
              <w:rPr>
                <w:sz w:val="20"/>
                <w:szCs w:val="20"/>
                <w:color w:val="auto"/>
              </w:rPr>
            </w:pPr>
            <w:r>
              <w:rPr>
                <w:rFonts w:ascii="Arial" w:cs="Arial" w:eastAsia="Arial" w:hAnsi="Arial"/>
                <w:sz w:val="16"/>
                <w:szCs w:val="16"/>
                <w:color w:val="auto"/>
              </w:rPr>
              <w:t>Purchase price, net of cash acquired</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27,418</w:t>
            </w:r>
          </w:p>
        </w:tc>
      </w:tr>
      <w:tr>
        <w:trPr>
          <w:trHeight w:val="21"/>
        </w:trPr>
        <w:tc>
          <w:tcPr>
            <w:tcW w:w="9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Goodwill is attributable to cost synergies from procurement and operational efficiencies and elimination of duplicative administrative costs.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49"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02"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table sets forth the net revenue earned by category of payer for the three and nine months ended September 30, 2023 and 2022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6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360" w:type="dxa"/>
            <w:vAlign w:val="bottom"/>
          </w:tcPr>
          <w:p>
            <w:pPr>
              <w:spacing w:after="0"/>
              <w:rPr>
                <w:sz w:val="18"/>
                <w:szCs w:val="18"/>
                <w:color w:val="auto"/>
              </w:rPr>
            </w:pPr>
          </w:p>
        </w:tc>
        <w:tc>
          <w:tcPr>
            <w:tcW w:w="328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39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r>
      <w:tr>
        <w:trPr>
          <w:trHeight w:val="212"/>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payers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957,601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888,162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2,765,513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2,526,354</w:t>
            </w: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Government payers</w:t>
            </w: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124,122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122,793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370,648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357,383</w:t>
            </w: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Patients</w:t>
            </w:r>
          </w:p>
        </w:tc>
        <w:tc>
          <w:tcPr>
            <w:tcW w:w="3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11,291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41,773</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33,785</w:t>
            </w: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Net revenue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1,093,014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1,020,918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3,177,934</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2,917,522</w:t>
            </w:r>
          </w:p>
        </w:tc>
      </w:tr>
      <w:tr>
        <w:trPr>
          <w:trHeight w:val="21"/>
        </w:trPr>
        <w:tc>
          <w:tcPr>
            <w:tcW w:w="3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8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During the three months ended September 30, 2023, the Company recorded tax expense of $13.8 million. During the nine months ended September 30, 2023, the Company recorded tax expense of $69.9 million, which includes $22.1 million of tax expense related to the Termination Fee payment received on behalf of Amedisys, under the terms of the Mutual Termination Agreement, net of merger-related expenses. The tax expense for the three and nine months ended September 30, 2023 represents an effective tax rate of 19.7% and 25.0%, respectively. The variance in the Company’s effective tax rate of 19.7% and 25.0% for the three and nine months ended September 30, 2023, respectively, compared to the federal statutory rate of 21%, is primarily attributable to the difference between federal and state tax rates, various non-deductible expenses, and a change in state valuation allowance. During the three months ended September 30, 2023, the Company released $5.8 million of state valuation allowance. During the three and nine months ended September 30, 2022, the Company recorded tax expense of $13.3 million and $38.0 million, respectively, which represents an effective tax rate of 25.5% and 26.9%, respectively. The variance in the Company’s effective tax rate of 25.5% and 26.9% for the three and nine months ended September 30, 2022, compared to the federal statutory rate of 21%, is primarily attributable to current and deferred state taxes as well as various non-deductible expenses.</w:t>
      </w:r>
    </w:p>
    <w:p>
      <w:pPr>
        <w:spacing w:after="0" w:line="14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The Company maintains a valuation allowance of $7.2 million against certain state net operating losses. In assessing the realizability of deferred tax assets, the Company considers whether it is more likely than not that some or all of the deferred tax assets will not be realized. The ultimate realization of deferred tax assets depends on the generation of future taxable income during the periods in which those temporary differences are deductible. In making this assessment, the Company considers the scheduled reversal of deferred tax liabilities, including the effect in available carryback and carryforward periods, projected taxable income, and tax-planning strategies. On a quarterly basis, the Company evaluates all positive and negative evidence in determining if the valuation allowance is fairly stated.</w:t>
      </w:r>
    </w:p>
    <w:p>
      <w:pPr>
        <w:spacing w:after="0" w:line="15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Company’s tax expense for the three and nine months ended September 30, 2023 of $13.8 million and $69.9 million, respectively, consists of quarterly federal and state tax liabilities as well as recognized deferred federal and state tax expense. The Company’s tax expense for the three and nine months ended September 30, 2022 of $13.3 million and $38.0 million, respectively, consists of quarterly tax liabilities attributable to specific state taxing authorities as well as recognized deferred federal and state tax expense.</w:t>
      </w:r>
    </w:p>
    <w:p>
      <w:pPr>
        <w:spacing w:after="0" w:line="146"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Company has accumulated federal net operating loss carryovers that are subject to one or more Section 382 limitations. This may limit the Company’s ability to utilize its federal net operating losses.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202"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The Company presents basic and diluted earnings per share for its common stock. Basic earnings per share is calculated by dividing the net income of the Company by the weighted average number of shares of common stock outstanding during the period. Diluted earnings per share is determined by adjusting the profit or loss and the weighted average number of shares of common stock outstanding for the effects of all potentially dilutive securities.</w:t>
      </w:r>
    </w:p>
    <w:p>
      <w:pPr>
        <w:spacing w:after="0" w:line="108" w:lineRule="exact"/>
        <w:rPr>
          <w:sz w:val="20"/>
          <w:szCs w:val="20"/>
          <w:color w:val="auto"/>
        </w:rPr>
      </w:pPr>
    </w:p>
    <w:p>
      <w:pPr>
        <w:jc w:val="both"/>
        <w:ind w:right="400" w:firstLine="324"/>
        <w:spacing w:after="0" w:line="259" w:lineRule="auto"/>
        <w:rPr>
          <w:sz w:val="20"/>
          <w:szCs w:val="20"/>
          <w:color w:val="auto"/>
        </w:rPr>
      </w:pPr>
      <w:r>
        <w:rPr>
          <w:rFonts w:ascii="Arial" w:cs="Arial" w:eastAsia="Arial" w:hAnsi="Arial"/>
          <w:sz w:val="18"/>
          <w:szCs w:val="18"/>
          <w:color w:val="auto"/>
        </w:rPr>
        <w:t>The earnings are used as the basis of determining whether the inclusion of common stock equivalents would be anti-dilutive. The computation of diluted shares for the three and nine months ended September 30, 2023 and 2022 includes the effect of shares that would be issued in connection with warrants, stock options, restricted stock awards and performance stock unit awards, as these common stock equivalents are dilutive to the earnings per share recorded in those periods.</w:t>
      </w:r>
    </w:p>
    <w:p>
      <w:pPr>
        <w:spacing w:after="0" w:line="14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presents the Company’s common stock equivalents that were excluded from the calculation of earnings per share as they would be anti-dilutive: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2940" w:type="dxa"/>
            <w:vAlign w:val="bottom"/>
            <w:gridSpan w:val="4"/>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210"/>
        </w:trPr>
        <w:tc>
          <w:tcPr>
            <w:tcW w:w="546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12"/>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 awards</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984,567</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520,944</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1,180,376</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794,887</w:t>
            </w:r>
          </w:p>
        </w:tc>
      </w:tr>
      <w:tr>
        <w:trPr>
          <w:trHeight w:val="213"/>
        </w:trPr>
        <w:tc>
          <w:tcPr>
            <w:tcW w:w="5460" w:type="dxa"/>
            <w:vAlign w:val="bottom"/>
          </w:tcPr>
          <w:p>
            <w:pPr>
              <w:ind w:left="20"/>
              <w:spacing w:after="0"/>
              <w:rPr>
                <w:sz w:val="20"/>
                <w:szCs w:val="20"/>
                <w:color w:val="auto"/>
              </w:rPr>
            </w:pPr>
            <w:r>
              <w:rPr>
                <w:rFonts w:ascii="Arial" w:cs="Arial" w:eastAsia="Arial" w:hAnsi="Arial"/>
                <w:sz w:val="16"/>
                <w:szCs w:val="16"/>
                <w:color w:val="auto"/>
              </w:rPr>
              <w:t>Restricted stock awards</w:t>
            </w:r>
          </w:p>
        </w:tc>
        <w:tc>
          <w:tcPr>
            <w:tcW w:w="1360" w:type="dxa"/>
            <w:vAlign w:val="bottom"/>
          </w:tcPr>
          <w:p>
            <w:pPr>
              <w:jc w:val="right"/>
              <w:spacing w:after="0"/>
              <w:rPr>
                <w:sz w:val="20"/>
                <w:szCs w:val="20"/>
                <w:color w:val="auto"/>
              </w:rPr>
            </w:pPr>
            <w:r>
              <w:rPr>
                <w:rFonts w:ascii="Arial" w:cs="Arial" w:eastAsia="Arial" w:hAnsi="Arial"/>
                <w:sz w:val="16"/>
                <w:szCs w:val="16"/>
                <w:color w:val="auto"/>
              </w:rPr>
              <w:t>16,564</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13,561</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569,831</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476,329</w:t>
            </w: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stock unit awards</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288,680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Company’s basic earnings per share and shares outstanding (in thousands,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268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10"/>
        </w:trPr>
        <w:tc>
          <w:tcPr>
            <w:tcW w:w="54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19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5460" w:type="dxa"/>
            <w:vAlign w:val="bottom"/>
          </w:tcPr>
          <w:p>
            <w:pPr>
              <w:ind w:left="140"/>
              <w:spacing w:after="0"/>
              <w:rPr>
                <w:sz w:val="20"/>
                <w:szCs w:val="20"/>
                <w:color w:val="auto"/>
              </w:rPr>
            </w:pPr>
            <w:r>
              <w:rPr>
                <w:rFonts w:ascii="Arial" w:cs="Arial" w:eastAsia="Arial" w:hAnsi="Arial"/>
                <w:sz w:val="16"/>
                <w:szCs w:val="16"/>
                <w:color w:val="auto"/>
              </w:rPr>
              <w:t>Net income (1)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56,302</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38,823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209,913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103,027</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6"/>
        </w:trPr>
        <w:tc>
          <w:tcPr>
            <w:tcW w:w="5460" w:type="dxa"/>
            <w:vAlign w:val="bottom"/>
          </w:tcPr>
          <w:p>
            <w:pPr>
              <w:ind w:left="140"/>
              <w:spacing w:after="0"/>
              <w:rPr>
                <w:sz w:val="20"/>
                <w:szCs w:val="20"/>
                <w:color w:val="auto"/>
              </w:rPr>
            </w:pPr>
            <w:r>
              <w:rPr>
                <w:rFonts w:ascii="Arial" w:cs="Arial" w:eastAsia="Arial" w:hAnsi="Arial"/>
                <w:sz w:val="16"/>
                <w:szCs w:val="16"/>
                <w:color w:val="auto"/>
              </w:rPr>
              <w:t>Weighted average number of common shares outstanding</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178,826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181,884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179,956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180,829</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0"/>
        </w:trPr>
        <w:tc>
          <w:tcPr>
            <w:tcW w:w="54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Earnings per common share:</w:t>
            </w: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r>
      <w:tr>
        <w:trPr>
          <w:trHeight w:val="212"/>
        </w:trPr>
        <w:tc>
          <w:tcPr>
            <w:tcW w:w="5460" w:type="dxa"/>
            <w:vAlign w:val="bottom"/>
          </w:tcPr>
          <w:p>
            <w:pPr>
              <w:ind w:left="140"/>
              <w:spacing w:after="0"/>
              <w:rPr>
                <w:sz w:val="20"/>
                <w:szCs w:val="20"/>
                <w:color w:val="auto"/>
              </w:rPr>
            </w:pPr>
            <w:r>
              <w:rPr>
                <w:rFonts w:ascii="Arial" w:cs="Arial" w:eastAsia="Arial" w:hAnsi="Arial"/>
                <w:sz w:val="16"/>
                <w:szCs w:val="16"/>
                <w:color w:val="auto"/>
              </w:rPr>
              <w:t>Earnings per common share, 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0.57</w:t>
            </w: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332"/>
        <w:spacing w:after="0" w:line="263" w:lineRule="auto"/>
        <w:tabs>
          <w:tab w:leader="none" w:pos="579"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Net income for the nine months ended September 30, 2023 includes $62.8 million related to the termination payment received on behalf of Amedisys, under the terms of the Mutual Termination Agreement, net of merger-related expenses and taxes. See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further discussion.</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Company’s diluted earnings per share and shares outstanding (in thousands, except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268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10"/>
        </w:trPr>
        <w:tc>
          <w:tcPr>
            <w:tcW w:w="54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19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5460" w:type="dxa"/>
            <w:vAlign w:val="bottom"/>
          </w:tcPr>
          <w:p>
            <w:pPr>
              <w:ind w:left="140"/>
              <w:spacing w:after="0"/>
              <w:rPr>
                <w:sz w:val="20"/>
                <w:szCs w:val="20"/>
                <w:color w:val="auto"/>
              </w:rPr>
            </w:pPr>
            <w:r>
              <w:rPr>
                <w:rFonts w:ascii="Arial" w:cs="Arial" w:eastAsia="Arial" w:hAnsi="Arial"/>
                <w:sz w:val="16"/>
                <w:szCs w:val="16"/>
                <w:color w:val="auto"/>
              </w:rPr>
              <w:t>Net income (1)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56,302</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38,823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209,913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103,027</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3"/>
        </w:trPr>
        <w:tc>
          <w:tcPr>
            <w:tcW w:w="5460" w:type="dxa"/>
            <w:vAlign w:val="bottom"/>
          </w:tcPr>
          <w:p>
            <w:pPr>
              <w:ind w:left="140"/>
              <w:spacing w:after="0"/>
              <w:rPr>
                <w:sz w:val="20"/>
                <w:szCs w:val="20"/>
                <w:color w:val="auto"/>
              </w:rPr>
            </w:pPr>
            <w:r>
              <w:rPr>
                <w:rFonts w:ascii="Arial" w:cs="Arial" w:eastAsia="Arial" w:hAnsi="Arial"/>
                <w:sz w:val="16"/>
                <w:szCs w:val="16"/>
                <w:color w:val="auto"/>
              </w:rPr>
              <w:t>Weighted average number of common shares outstanding</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178,826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181,884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179,956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180,829</w:t>
            </w:r>
          </w:p>
        </w:tc>
      </w:tr>
      <w:tr>
        <w:trPr>
          <w:trHeight w:val="216"/>
        </w:trPr>
        <w:tc>
          <w:tcPr>
            <w:tcW w:w="5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Effect of dilutive securities</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w:t>
            </w:r>
          </w:p>
        </w:tc>
      </w:tr>
      <w:tr>
        <w:trPr>
          <w:trHeight w:val="213"/>
        </w:trPr>
        <w:tc>
          <w:tcPr>
            <w:tcW w:w="5460" w:type="dxa"/>
            <w:vAlign w:val="bottom"/>
          </w:tcPr>
          <w:p>
            <w:pPr>
              <w:ind w:left="140"/>
              <w:spacing w:after="0"/>
              <w:rPr>
                <w:sz w:val="20"/>
                <w:szCs w:val="20"/>
                <w:color w:val="auto"/>
              </w:rPr>
            </w:pPr>
            <w:r>
              <w:rPr>
                <w:rFonts w:ascii="Arial" w:cs="Arial" w:eastAsia="Arial" w:hAnsi="Arial"/>
                <w:sz w:val="16"/>
                <w:szCs w:val="16"/>
                <w:color w:val="auto"/>
              </w:rPr>
              <w:t>Weighted average number of common shares outstanding, diluted</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180,528</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183,022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181,286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181,760</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0"/>
        </w:trPr>
        <w:tc>
          <w:tcPr>
            <w:tcW w:w="54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Earnings per common share:</w:t>
            </w: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r>
      <w:tr>
        <w:trPr>
          <w:trHeight w:val="212"/>
        </w:trPr>
        <w:tc>
          <w:tcPr>
            <w:tcW w:w="5460" w:type="dxa"/>
            <w:vAlign w:val="bottom"/>
          </w:tcPr>
          <w:p>
            <w:pPr>
              <w:ind w:left="140"/>
              <w:spacing w:after="0"/>
              <w:rPr>
                <w:sz w:val="20"/>
                <w:szCs w:val="20"/>
                <w:color w:val="auto"/>
              </w:rPr>
            </w:pPr>
            <w:r>
              <w:rPr>
                <w:rFonts w:ascii="Arial" w:cs="Arial" w:eastAsia="Arial" w:hAnsi="Arial"/>
                <w:sz w:val="16"/>
                <w:szCs w:val="16"/>
                <w:color w:val="auto"/>
              </w:rPr>
              <w:t>Earnings per common share,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0.57</w:t>
            </w: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332"/>
        <w:spacing w:after="0" w:line="263" w:lineRule="auto"/>
        <w:tabs>
          <w:tab w:leader="none" w:pos="579"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Net income for the nine months ended September 30, 2023 includes $62.8 million related to the termination payment received on behalf of Amedisys, under the terms of the Mutual Termination Agreement, net of merger-related expenses and taxes. See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further discussion.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02"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During the three and nine months ended September 30, 2023, the Company incurred operating lease expenses of $7.8 million and $22.3 million, respectively, including short-term lease expenses, which were included as a component of selling, general and administrative expenses in the unaudited condensed consolidated statements of comprehensive income. During the three and nine months ended September 30, 2022, the Company incurred operating lease expenses of $7.8 million and $22.7 million, respectively, including short-term lease expenses, which were included as a component of selling, general and administrative expenses in the unaudited condensed consolidated statements of comprehensive income. As of September 30, 2023, the weighted-average remaining lease term was 6.9 years and the weighted-average discount rate was 6.04%.</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leases mature as follows (in thousands):</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9020" w:type="dxa"/>
            <w:vAlign w:val="bottom"/>
            <w:gridSpan w:val="2"/>
          </w:tcPr>
          <w:p>
            <w:pPr>
              <w:ind w:left="20"/>
              <w:spacing w:after="0"/>
              <w:rPr>
                <w:sz w:val="20"/>
                <w:szCs w:val="20"/>
                <w:color w:val="auto"/>
              </w:rPr>
            </w:pPr>
            <w:r>
              <w:rPr>
                <w:rFonts w:ascii="Arial" w:cs="Arial" w:eastAsia="Arial" w:hAnsi="Arial"/>
                <w:sz w:val="16"/>
                <w:szCs w:val="16"/>
                <w:b w:val="1"/>
                <w:bCs w:val="1"/>
                <w:color w:val="auto"/>
              </w:rPr>
              <w:t>Fiscal Year Ended December 31,</w:t>
            </w:r>
          </w:p>
        </w:tc>
        <w:tc>
          <w:tcPr>
            <w:tcW w:w="240" w:type="dxa"/>
            <w:vAlign w:val="bottom"/>
          </w:tcPr>
          <w:p>
            <w:pPr>
              <w:spacing w:after="0"/>
              <w:rPr>
                <w:sz w:val="18"/>
                <w:szCs w:val="18"/>
                <w:color w:val="auto"/>
              </w:rPr>
            </w:pPr>
          </w:p>
        </w:tc>
        <w:tc>
          <w:tcPr>
            <w:tcW w:w="1940" w:type="dxa"/>
            <w:vAlign w:val="bottom"/>
          </w:tcPr>
          <w:p>
            <w:pPr>
              <w:jc w:val="right"/>
              <w:ind w:right="299"/>
              <w:spacing w:after="0"/>
              <w:rPr>
                <w:sz w:val="20"/>
                <w:szCs w:val="20"/>
                <w:color w:val="auto"/>
              </w:rPr>
            </w:pPr>
            <w:r>
              <w:rPr>
                <w:rFonts w:ascii="Arial" w:cs="Arial" w:eastAsia="Arial" w:hAnsi="Arial"/>
                <w:sz w:val="16"/>
                <w:szCs w:val="16"/>
                <w:b w:val="1"/>
                <w:bCs w:val="1"/>
                <w:color w:val="auto"/>
              </w:rPr>
              <w:t>Minimum Payments</w:t>
            </w:r>
          </w:p>
        </w:tc>
      </w:tr>
      <w:tr>
        <w:trPr>
          <w:trHeight w:val="213"/>
        </w:trPr>
        <w:tc>
          <w:tcPr>
            <w:tcW w:w="8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9,410</w:t>
            </w:r>
          </w:p>
        </w:tc>
      </w:tr>
      <w:tr>
        <w:trPr>
          <w:trHeight w:val="213"/>
        </w:trPr>
        <w:tc>
          <w:tcPr>
            <w:tcW w:w="8920" w:type="dxa"/>
            <w:vAlign w:val="bottom"/>
          </w:tcPr>
          <w:p>
            <w:pPr>
              <w:ind w:left="20"/>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23,564</w:t>
            </w:r>
          </w:p>
        </w:tc>
      </w:tr>
      <w:tr>
        <w:trPr>
          <w:trHeight w:val="219"/>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21,350</w:t>
            </w:r>
          </w:p>
        </w:tc>
      </w:tr>
      <w:tr>
        <w:trPr>
          <w:trHeight w:val="213"/>
        </w:trPr>
        <w:tc>
          <w:tcPr>
            <w:tcW w:w="8920" w:type="dxa"/>
            <w:vAlign w:val="bottom"/>
          </w:tcPr>
          <w:p>
            <w:pPr>
              <w:ind w:left="20"/>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18,490</w:t>
            </w:r>
          </w:p>
        </w:tc>
      </w:tr>
      <w:tr>
        <w:trPr>
          <w:trHeight w:val="219"/>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15,315</w:t>
            </w:r>
          </w:p>
        </w:tc>
      </w:tr>
      <w:tr>
        <w:trPr>
          <w:trHeight w:val="213"/>
        </w:trPr>
        <w:tc>
          <w:tcPr>
            <w:tcW w:w="9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44,262</w:t>
            </w:r>
          </w:p>
        </w:tc>
      </w:tr>
      <w:tr>
        <w:trPr>
          <w:trHeight w:val="212"/>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132,391</w:t>
            </w:r>
          </w:p>
        </w:tc>
      </w:tr>
      <w:tr>
        <w:trPr>
          <w:trHeight w:val="213"/>
        </w:trPr>
        <w:tc>
          <w:tcPr>
            <w:tcW w:w="9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interest</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(28,500)</w:t>
            </w:r>
          </w:p>
        </w:tc>
      </w:tr>
      <w:tr>
        <w:trPr>
          <w:trHeight w:val="238"/>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103,891</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During the nine months ended September 30, 2023, the Company commenced new leases, extensions and amendments, resulting in non-cash operating activities in the unaudited condensed consolidated statements of cash flow of $26.1 million related to increases in the operating lease right-of-use assets and operating lease liabilities. During the nine months ended September 30, 2022, the Company commenced new leases, extensions and amendments, resulting in non-cash operating activities in the unaudited condensed consolidated statements of cash flow of $13.6 million related to increases in the operating lease right-of-use assets and operating lease liabilities. As of September 30, 2023, the Company did not have any significant operating or financing leases that had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was as follows as of September 30, 2023 and December 31, 2022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 2022</w:t>
            </w:r>
          </w:p>
        </w:tc>
      </w:tr>
      <w:tr>
        <w:trPr>
          <w:trHeight w:val="212"/>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Infusion pumps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37,027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34,942</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Equipment, furniture and other</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35,955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31,929</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99,085</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Computer software, purchased and internally developed</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47,878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34,922</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under development</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26,915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29,411</w:t>
            </w:r>
          </w:p>
        </w:tc>
      </w:tr>
      <w:tr>
        <w:trPr>
          <w:trHeight w:val="209"/>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249,058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230,289</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(141,098)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(121,968)</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107,960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108,321</w:t>
            </w:r>
          </w:p>
        </w:tc>
      </w:tr>
      <w:tr>
        <w:trPr>
          <w:trHeight w:val="20"/>
        </w:trPr>
        <w:tc>
          <w:tcPr>
            <w:tcW w:w="7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Depreciation expense is recorded within cost of revenue and operating expenses within the unaudited condensed consolidated statements of comprehensive income, depending on the nature of the underlying fixed assets. The 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three and nine months ended September 30, 2023 and 2022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2940" w:type="dxa"/>
            <w:vAlign w:val="bottom"/>
            <w:gridSpan w:val="6"/>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268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10"/>
        </w:trPr>
        <w:tc>
          <w:tcPr>
            <w:tcW w:w="54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12"/>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 in cost of revenue</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3,696</w:t>
            </w:r>
          </w:p>
        </w:tc>
      </w:tr>
      <w:tr>
        <w:trPr>
          <w:trHeight w:val="21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expense in operating expenses</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6,365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18,665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21,337</w:t>
            </w:r>
          </w:p>
        </w:tc>
      </w:tr>
      <w:tr>
        <w:trPr>
          <w:trHeight w:val="23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depreciation expense</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6,981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20,671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25,033</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INTANGIBLE ASSETS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the carrying amount of goodwill consist of the following activity for the three and nine months ended September 30, 2023 (in thousands):</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1,533,424</w:t>
            </w:r>
          </w:p>
        </w:tc>
      </w:tr>
      <w:tr>
        <w:trPr>
          <w:trHeight w:val="213"/>
        </w:trPr>
        <w:tc>
          <w:tcPr>
            <w:tcW w:w="9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Purchase accounting adjustments</w:t>
            </w: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r>
      <w:tr>
        <w:trPr>
          <w:trHeight w:val="212"/>
        </w:trPr>
        <w:tc>
          <w:tcPr>
            <w:tcW w:w="90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31, 2023</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1,533,569</w:t>
            </w:r>
          </w:p>
        </w:tc>
      </w:tr>
      <w:tr>
        <w:trPr>
          <w:trHeight w:val="213"/>
        </w:trPr>
        <w:tc>
          <w:tcPr>
            <w:tcW w:w="9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Acquisitions</w:t>
            </w: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6,998</w:t>
            </w:r>
          </w:p>
        </w:tc>
      </w:tr>
      <w:tr>
        <w:trPr>
          <w:trHeight w:val="213"/>
        </w:trPr>
        <w:tc>
          <w:tcPr>
            <w:tcW w:w="90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30, 2023</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1,540,567</w:t>
            </w:r>
          </w:p>
        </w:tc>
      </w:tr>
      <w:tr>
        <w:trPr>
          <w:trHeight w:val="213"/>
        </w:trPr>
        <w:tc>
          <w:tcPr>
            <w:tcW w:w="9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Purchase accounting adjustments</w:t>
            </w: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r>
      <w:tr>
        <w:trPr>
          <w:trHeight w:val="238"/>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September 30, 2023</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1,540,246</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carrying amount and accumulated amortization of intangible assets consist of the following as of September 30, 2023 and December 31, 2022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 2022</w:t>
            </w:r>
          </w:p>
        </w:tc>
      </w:tr>
      <w:tr>
        <w:trPr>
          <w:trHeight w:val="199"/>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intangible assets: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Referral sources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514,388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509,646</w:t>
            </w: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Trademarks/names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38,508</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amortizable intangible assets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r>
      <w:tr>
        <w:trPr>
          <w:trHeight w:val="20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gross intangible assets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554,527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549,066</w:t>
            </w:r>
          </w:p>
        </w:tc>
      </w:tr>
      <w:tr>
        <w:trPr>
          <w:trHeight w:val="240"/>
        </w:trPr>
        <w:tc>
          <w:tcPr>
            <w:tcW w:w="7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amortization:</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Referral sources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(191,262)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(167,902)</w:t>
            </w: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Trademarks/names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(16,901)</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amortizable intangible assets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r>
      <w:tr>
        <w:trPr>
          <w:trHeight w:val="20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accumulated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(210,533)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(184,951)</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Total intangible assets,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343,994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364,115</w:t>
            </w:r>
          </w:p>
        </w:tc>
      </w:tr>
      <w:tr>
        <w:trPr>
          <w:trHeight w:val="20"/>
        </w:trPr>
        <w:tc>
          <w:tcPr>
            <w:tcW w:w="7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expense for intangible assets was $8.6 million and $25.6 million for the three and nine months ended September 30, 2023,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intangible assets was $8.4 million and $24.6 million for the three and nine months ended September 30, 2022, respectively.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INDEBTEDNESS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consisted of the following as of September 30, 2023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Principal Amount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Discount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8"/>
              </w:rPr>
              <w:t>Debt Issuance Costs</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Net Balance</w:t>
            </w:r>
          </w:p>
        </w:tc>
      </w:tr>
      <w:tr>
        <w:trPr>
          <w:trHeight w:val="212"/>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Asset-based-lending (“ABL”)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First Lien Term Loan</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589,500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(10,149)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572,038</w:t>
            </w: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490,978</w:t>
            </w:r>
          </w:p>
        </w:tc>
      </w:tr>
      <w:tr>
        <w:trPr>
          <w:trHeight w:val="213"/>
        </w:trPr>
        <w:tc>
          <w:tcPr>
            <w:tcW w:w="39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1,089,500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(7,313)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(19,171)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1,063,016</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80"/>
        </w:trPr>
        <w:tc>
          <w:tcPr>
            <w:tcW w:w="390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Less: current portion</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(6,000)</w:t>
            </w:r>
          </w:p>
        </w:tc>
      </w:tr>
      <w:tr>
        <w:trPr>
          <w:trHeight w:val="213"/>
        </w:trPr>
        <w:tc>
          <w:tcPr>
            <w:tcW w:w="3900" w:type="dxa"/>
            <w:vAlign w:val="bottom"/>
          </w:tcPr>
          <w:p>
            <w:pPr>
              <w:ind w:left="140"/>
              <w:spacing w:after="0"/>
              <w:rPr>
                <w:sz w:val="20"/>
                <w:szCs w:val="20"/>
                <w:color w:val="auto"/>
              </w:rPr>
            </w:pPr>
            <w:r>
              <w:rPr>
                <w:rFonts w:ascii="Arial" w:cs="Arial" w:eastAsia="Arial" w:hAnsi="Arial"/>
                <w:sz w:val="16"/>
                <w:szCs w:val="16"/>
                <w:color w:val="auto"/>
              </w:rPr>
              <w:t>Total long-term debt</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1,057,016</w:t>
            </w:r>
          </w:p>
        </w:tc>
      </w:tr>
      <w:tr>
        <w:trPr>
          <w:trHeight w:val="20"/>
        </w:trPr>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consisted of the following as of December 31, 2022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Principal Amount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Discount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8"/>
              </w:rPr>
              <w:t>Debt Issuance Costs</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Net Balance</w:t>
            </w:r>
          </w:p>
        </w:tc>
      </w:tr>
      <w:tr>
        <w:trPr>
          <w:trHeight w:val="212"/>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First Lien Term Loan</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594,000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(8,307)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(11,529)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574,164</w:t>
            </w: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490,040</w:t>
            </w:r>
          </w:p>
        </w:tc>
      </w:tr>
      <w:tr>
        <w:trPr>
          <w:trHeight w:val="213"/>
        </w:trPr>
        <w:tc>
          <w:tcPr>
            <w:tcW w:w="39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1,094,000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(8,307)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(21,489)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1,064,204</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80"/>
        </w:trPr>
        <w:tc>
          <w:tcPr>
            <w:tcW w:w="390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Less: current portion</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(6,000)</w:t>
            </w:r>
          </w:p>
        </w:tc>
      </w:tr>
      <w:tr>
        <w:trPr>
          <w:trHeight w:val="213"/>
        </w:trPr>
        <w:tc>
          <w:tcPr>
            <w:tcW w:w="3900" w:type="dxa"/>
            <w:vAlign w:val="bottom"/>
          </w:tcPr>
          <w:p>
            <w:pPr>
              <w:ind w:left="140"/>
              <w:spacing w:after="0"/>
              <w:rPr>
                <w:sz w:val="20"/>
                <w:szCs w:val="20"/>
                <w:color w:val="auto"/>
              </w:rPr>
            </w:pPr>
            <w:r>
              <w:rPr>
                <w:rFonts w:ascii="Arial" w:cs="Arial" w:eastAsia="Arial" w:hAnsi="Arial"/>
                <w:sz w:val="16"/>
                <w:szCs w:val="16"/>
                <w:color w:val="auto"/>
              </w:rPr>
              <w:t>Total long-term debt</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1,058,204</w:t>
            </w:r>
          </w:p>
        </w:tc>
      </w:tr>
      <w:tr>
        <w:trPr>
          <w:trHeight w:val="21"/>
        </w:trPr>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Effective June 30, 2023, the Company entered into an agreement, dated as of June 8, 2023, to amend the First Lien Term Loan (the “First Lien Credit Agreement Amendment”) solely to replace London Interbank Offered Rate (“LIBOR”) and related definitions and provisions with Secured Overnight Financing Rate (“SOFR”) as the new reference rate. The Company elected an optional expedient allowed under ASC Topic 848 such that we will account for the modification as a continuation of the existing contract.</w:t>
      </w:r>
    </w:p>
    <w:p>
      <w:pPr>
        <w:spacing w:after="0" w:line="160"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The interest rate on the First Lien Term Loan was 8.20% and 6.82% as of September 30, 2023 and December 31, 2022, respectively. The weighted average interest rate incurred on the First Lien Term Loan was 8.11% and 7.71% for the three and nine months ended September 30, 2023, respectively. The weighted average interest rate incurred on the First Lien Term Loan was 4.94% and 3.90% for the three and nine months ended September 30, 2022, respectively. The interest rate on the Senior Notes was 4.375% as of September 30, 2023 and December 31, 2022. The weighted average interest rate incurred on the Senior Notes was 4.375% for the three and nine months ended September 30, 2023, respectively. The weighted average interest rate incurred on the Senior Notes was 4.375% for the three and nine months ended September 30, 2022, respectively.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matures as follows (in thousands):</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9020" w:type="dxa"/>
            <w:vAlign w:val="bottom"/>
            <w:gridSpan w:val="2"/>
          </w:tcPr>
          <w:p>
            <w:pPr>
              <w:ind w:left="20"/>
              <w:spacing w:after="0"/>
              <w:rPr>
                <w:sz w:val="20"/>
                <w:szCs w:val="20"/>
                <w:color w:val="auto"/>
              </w:rPr>
            </w:pPr>
            <w:r>
              <w:rPr>
                <w:rFonts w:ascii="Arial" w:cs="Arial" w:eastAsia="Arial" w:hAnsi="Arial"/>
                <w:sz w:val="16"/>
                <w:szCs w:val="16"/>
                <w:b w:val="1"/>
                <w:bCs w:val="1"/>
                <w:color w:val="auto"/>
              </w:rPr>
              <w:t>Fiscal Year Ended December 31,</w:t>
            </w:r>
          </w:p>
        </w:tc>
        <w:tc>
          <w:tcPr>
            <w:tcW w:w="240" w:type="dxa"/>
            <w:vAlign w:val="bottom"/>
          </w:tcPr>
          <w:p>
            <w:pPr>
              <w:spacing w:after="0"/>
              <w:rPr>
                <w:sz w:val="18"/>
                <w:szCs w:val="18"/>
                <w:color w:val="auto"/>
              </w:rPr>
            </w:pPr>
          </w:p>
        </w:tc>
        <w:tc>
          <w:tcPr>
            <w:tcW w:w="1940" w:type="dxa"/>
            <w:vAlign w:val="bottom"/>
          </w:tcPr>
          <w:p>
            <w:pPr>
              <w:jc w:val="right"/>
              <w:ind w:right="299"/>
              <w:spacing w:after="0"/>
              <w:rPr>
                <w:sz w:val="20"/>
                <w:szCs w:val="20"/>
                <w:color w:val="auto"/>
              </w:rPr>
            </w:pPr>
            <w:r>
              <w:rPr>
                <w:rFonts w:ascii="Arial" w:cs="Arial" w:eastAsia="Arial" w:hAnsi="Arial"/>
                <w:sz w:val="16"/>
                <w:szCs w:val="16"/>
                <w:b w:val="1"/>
                <w:bCs w:val="1"/>
                <w:color w:val="auto"/>
              </w:rPr>
              <w:t>Minimum Payments</w:t>
            </w:r>
          </w:p>
        </w:tc>
      </w:tr>
      <w:tr>
        <w:trPr>
          <w:trHeight w:val="212"/>
        </w:trPr>
        <w:tc>
          <w:tcPr>
            <w:tcW w:w="8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r>
      <w:tr>
        <w:trPr>
          <w:trHeight w:val="213"/>
        </w:trPr>
        <w:tc>
          <w:tcPr>
            <w:tcW w:w="8920" w:type="dxa"/>
            <w:vAlign w:val="bottom"/>
          </w:tcPr>
          <w:p>
            <w:pPr>
              <w:ind w:left="20"/>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19"/>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13"/>
        </w:trPr>
        <w:tc>
          <w:tcPr>
            <w:tcW w:w="8920" w:type="dxa"/>
            <w:vAlign w:val="bottom"/>
          </w:tcPr>
          <w:p>
            <w:pPr>
              <w:ind w:left="20"/>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19"/>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13"/>
        </w:trPr>
        <w:tc>
          <w:tcPr>
            <w:tcW w:w="9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1,064,000</w:t>
            </w:r>
          </w:p>
        </w:tc>
      </w:tr>
      <w:tr>
        <w:trPr>
          <w:trHeight w:val="238"/>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1,089,500</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 xml:space="preserve">During the three and nine months ended September 30, 2023 and 2022, the Company engaged in hedging activities to limit its exposure to changes in interest rates. See Note 11,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further discussion.</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estimated fair values of the Company’s debt obligations as of September 30, 2023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Financial Instrument</w:t>
            </w:r>
          </w:p>
        </w:tc>
        <w:tc>
          <w:tcPr>
            <w:tcW w:w="10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2"/>
          </w:tcPr>
          <w:p>
            <w:pPr>
              <w:ind w:left="100"/>
              <w:spacing w:after="0"/>
              <w:rPr>
                <w:sz w:val="20"/>
                <w:szCs w:val="20"/>
                <w:color w:val="auto"/>
              </w:rPr>
            </w:pPr>
            <w:r>
              <w:rPr>
                <w:rFonts w:ascii="Arial" w:cs="Arial" w:eastAsia="Arial" w:hAnsi="Arial"/>
                <w:sz w:val="16"/>
                <w:szCs w:val="16"/>
                <w:b w:val="1"/>
                <w:bCs w:val="1"/>
                <w:color w:val="auto"/>
              </w:rPr>
              <w:t>Carrying Value as of</w:t>
            </w:r>
          </w:p>
        </w:tc>
        <w:tc>
          <w:tcPr>
            <w:tcW w:w="21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8"/>
              </w:rPr>
              <w:t>Markets for Identical Item</w:t>
            </w:r>
          </w:p>
        </w:tc>
        <w:tc>
          <w:tcPr>
            <w:tcW w:w="260" w:type="dxa"/>
            <w:vAlign w:val="bottom"/>
          </w:tcPr>
          <w:p>
            <w:pPr>
              <w:spacing w:after="0"/>
              <w:rPr>
                <w:sz w:val="16"/>
                <w:szCs w:val="16"/>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Significant Other</w:t>
            </w:r>
          </w:p>
        </w:tc>
        <w:tc>
          <w:tcPr>
            <w:tcW w:w="120" w:type="dxa"/>
            <w:vAlign w:val="bottom"/>
          </w:tcPr>
          <w:p>
            <w:pPr>
              <w:spacing w:after="0"/>
              <w:rPr>
                <w:sz w:val="16"/>
                <w:szCs w:val="16"/>
                <w:color w:val="auto"/>
              </w:rPr>
            </w:pPr>
          </w:p>
        </w:tc>
        <w:tc>
          <w:tcPr>
            <w:tcW w:w="190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Significant Unobservable</w:t>
            </w:r>
          </w:p>
        </w:tc>
        <w:tc>
          <w:tcPr>
            <w:tcW w:w="0" w:type="dxa"/>
            <w:vAlign w:val="bottom"/>
          </w:tcPr>
          <w:p>
            <w:pPr>
              <w:spacing w:after="0"/>
              <w:rPr>
                <w:sz w:val="1"/>
                <w:szCs w:val="1"/>
                <w:color w:val="auto"/>
              </w:rPr>
            </w:pPr>
          </w:p>
        </w:tc>
      </w:tr>
      <w:tr>
        <w:trPr>
          <w:trHeight w:val="213"/>
        </w:trPr>
        <w:tc>
          <w:tcPr>
            <w:tcW w:w="2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7"/>
              </w:rPr>
              <w:t>September 30, 2023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Observable Inputs (Level 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Inputs (Level 3)</w:t>
            </w:r>
          </w:p>
        </w:tc>
        <w:tc>
          <w:tcPr>
            <w:tcW w:w="0" w:type="dxa"/>
            <w:vAlign w:val="bottom"/>
          </w:tcPr>
          <w:p>
            <w:pPr>
              <w:spacing w:after="0"/>
              <w:rPr>
                <w:sz w:val="1"/>
                <w:szCs w:val="1"/>
                <w:color w:val="auto"/>
              </w:rPr>
            </w:pPr>
          </w:p>
        </w:tc>
      </w:tr>
      <w:tr>
        <w:trPr>
          <w:trHeight w:val="212"/>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First Lien Term Loan</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572,037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591,740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Senior Notes</w:t>
            </w: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490,979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430,000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ind w:left="1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8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debt instruments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1,063,016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1,021,740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further discussion.</w:t>
      </w:r>
    </w:p>
    <w:p>
      <w:pPr>
        <w:spacing w:after="0" w:line="185" w:lineRule="exact"/>
        <w:rPr>
          <w:sz w:val="20"/>
          <w:szCs w:val="20"/>
          <w:color w:val="auto"/>
        </w:rPr>
      </w:pPr>
    </w:p>
    <w:p>
      <w:pPr>
        <w:jc w:val="both"/>
        <w:ind w:right="660" w:firstLine="324"/>
        <w:spacing w:after="0" w:line="342" w:lineRule="auto"/>
        <w:rPr>
          <w:sz w:val="20"/>
          <w:szCs w:val="20"/>
          <w:color w:val="auto"/>
        </w:rPr>
      </w:pPr>
      <w:r>
        <w:rPr>
          <w:rFonts w:ascii="Arial" w:cs="Arial" w:eastAsia="Arial" w:hAnsi="Arial"/>
          <w:sz w:val="16"/>
          <w:szCs w:val="16"/>
          <w:color w:val="auto"/>
        </w:rPr>
        <w:t>Effective January 13, 2023, the Company entered into an agreement to amend the ABL Facility, to among other things, increase the amount of borrowing availability by $50.0 million to $225.0 million total borrowing availability and to replace LIBOR with SOFR as the new reference rate.</w:t>
      </w:r>
    </w:p>
    <w:p>
      <w:pPr>
        <w:sectPr>
          <w:pgSz w:w="11900" w:h="16838" w:orient="portrait"/>
          <w:cols w:equalWidth="0" w:num="1">
            <w:col w:w="11240"/>
          </w:cols>
          <w:pgMar w:left="320" w:top="122" w:right="339" w:bottom="9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966"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w:t>
      </w:r>
    </w:p>
    <w:p>
      <w:pPr>
        <w:spacing w:after="0" w:line="20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Company uses derivative financial instruments for hedging and non-trading purposes to limit the Company’s exposure to increases in interest rates related to its variable interest rate debt. Use of derivative financial instruments in hedging programs subjects the Company to certain risks, such as market and credit risks. Market risk represents the possibility that the value of the derivative financial instrument will change. In a hedging relationship, the change in the value of the derivative financial instrument is offset to a great extent by the change in the value of the underlying hedged item.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spacing w:after="0" w:line="12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October 2021, the Company entered into an interest rate cap hedge with a notional amount of $300 million for a 5-year term beginning November 30, 2021. The hedge partially offsets risk associated with the First Lien Term Loan’s variable interest rate. The interest rate cap instrument perfectly offsets the terms of the interest rates associated with the variable interest rate of the First Lien Term Loan. As a result of the First Lien Credit Agreement Amendment, the Company elected an optional expedient allowed under ASC Topic 848 such that we will continue the hedging relationship for the interest rate cap hedge.</w:t>
      </w:r>
    </w:p>
    <w:p>
      <w:pPr>
        <w:spacing w:after="0" w:line="14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summarizes the amount and location of the Company’s derivative instruments in the condensed consolidated balance sheets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20" w:type="dxa"/>
            <w:vAlign w:val="bottom"/>
            <w:tcBorders>
              <w:bottom w:val="single" w:sz="8" w:color="auto"/>
            </w:tcBorders>
            <w:gridSpan w:val="5"/>
          </w:tcPr>
          <w:p>
            <w:pPr>
              <w:jc w:val="center"/>
              <w:ind w:left="1679"/>
              <w:spacing w:after="0"/>
              <w:rPr>
                <w:sz w:val="20"/>
                <w:szCs w:val="20"/>
                <w:color w:val="auto"/>
              </w:rPr>
            </w:pPr>
            <w:r>
              <w:rPr>
                <w:rFonts w:ascii="Arial" w:cs="Arial" w:eastAsia="Arial" w:hAnsi="Arial"/>
                <w:sz w:val="16"/>
                <w:szCs w:val="16"/>
                <w:b w:val="1"/>
                <w:bCs w:val="1"/>
                <w:color w:val="auto"/>
                <w:w w:val="90"/>
              </w:rPr>
              <w:t>Fair Value - Derivatives in Asset Position</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1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120" w:type="dxa"/>
            <w:vAlign w:val="bottom"/>
            <w:tcBorders>
              <w:bottom w:val="single" w:sz="8" w:color="CCEEFF"/>
            </w:tcBorders>
          </w:tcPr>
          <w:p>
            <w:pPr>
              <w:spacing w:after="0"/>
              <w:rPr>
                <w:sz w:val="18"/>
                <w:szCs w:val="18"/>
                <w:color w:val="auto"/>
              </w:rPr>
            </w:pPr>
          </w:p>
        </w:tc>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Sheet Caption</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2"/>
              </w:rPr>
              <w:t>September 30, 2023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December 31, 2022</w:t>
            </w:r>
          </w:p>
        </w:tc>
      </w:tr>
      <w:tr>
        <w:trPr>
          <w:trHeight w:val="212"/>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cap designated as cash flow hedge</w:t>
            </w:r>
          </w:p>
        </w:tc>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10,926</w:t>
            </w:r>
          </w:p>
        </w:tc>
      </w:tr>
      <w:tr>
        <w:trPr>
          <w:trHeight w:val="213"/>
        </w:trPr>
        <w:tc>
          <w:tcPr>
            <w:tcW w:w="40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Interest rate cap designated as cash flow hedge</w:t>
            </w:r>
          </w:p>
        </w:tc>
        <w:tc>
          <w:tcPr>
            <w:tcW w:w="35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22,185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17,342</w:t>
            </w:r>
          </w:p>
        </w:tc>
      </w:tr>
      <w:tr>
        <w:trPr>
          <w:trHeight w:val="238"/>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derivative assets</w:t>
            </w:r>
          </w:p>
        </w:tc>
        <w:tc>
          <w:tcPr>
            <w:tcW w:w="3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28,268</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20" w:firstLine="324"/>
        <w:spacing w:after="0" w:line="286" w:lineRule="auto"/>
        <w:rPr>
          <w:sz w:val="20"/>
          <w:szCs w:val="20"/>
          <w:color w:val="auto"/>
        </w:rPr>
      </w:pPr>
      <w:r>
        <w:rPr>
          <w:rFonts w:ascii="Arial" w:cs="Arial" w:eastAsia="Arial" w:hAnsi="Arial"/>
          <w:sz w:val="17"/>
          <w:szCs w:val="17"/>
          <w:color w:val="auto"/>
        </w:rPr>
        <w:t>The gain (loss) associated with the change in the fair value of the effective portion of the hedging instrument is recorded in other comprehensive income (loss). The following table presents the pre-tax gain (loss) from derivative instruments recognized in other comprehensive income (loss) in the Company’s unaudited condensed consolidated statements of comprehensive income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6"/>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268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1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1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12"/>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cap designated as cash flow hedge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30,879</w:t>
            </w:r>
          </w:p>
        </w:tc>
      </w:tr>
    </w:tbl>
    <w:p>
      <w:pPr>
        <w:spacing w:after="0" w:line="256"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following table presents the amount and location of pre-tax income (loss) recognized in the Company’s unaudited condensed consolidated statements of comprehensive income related to the Company’s derivative instruments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6"/>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6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2"/>
              </w:rPr>
              <w:t>Nine Months Ended September 30,</w:t>
            </w:r>
          </w:p>
        </w:tc>
        <w:tc>
          <w:tcPr>
            <w:tcW w:w="0" w:type="dxa"/>
            <w:vAlign w:val="bottom"/>
          </w:tcPr>
          <w:p>
            <w:pPr>
              <w:spacing w:after="0"/>
              <w:rPr>
                <w:sz w:val="1"/>
                <w:szCs w:val="1"/>
                <w:color w:val="auto"/>
              </w:rPr>
            </w:pPr>
          </w:p>
        </w:tc>
      </w:tr>
      <w:tr>
        <w:trPr>
          <w:trHeight w:val="213"/>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100" w:type="dxa"/>
            <w:vAlign w:val="bottom"/>
            <w:tcBorders>
              <w:bottom w:val="single" w:sz="8" w:color="CCEEFF"/>
            </w:tcBorders>
          </w:tcPr>
          <w:p>
            <w:pPr>
              <w:spacing w:after="0"/>
              <w:rPr>
                <w:sz w:val="18"/>
                <w:szCs w:val="18"/>
                <w:color w:val="auto"/>
              </w:rPr>
            </w:pPr>
          </w:p>
        </w:tc>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Income Statement Caption</w:t>
            </w:r>
          </w:p>
        </w:tc>
        <w:tc>
          <w:tcPr>
            <w:tcW w:w="1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w w:val="93"/>
              </w:rPr>
              <w:t>Interest rate cap designated as cash flow</w:t>
            </w:r>
          </w:p>
        </w:tc>
        <w:tc>
          <w:tcPr>
            <w:tcW w:w="27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880" w:type="dxa"/>
            <w:vAlign w:val="bottom"/>
            <w:vMerge w:val="restart"/>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4"/>
              </w:rPr>
              <w:t>2,931</w:t>
            </w:r>
          </w:p>
        </w:tc>
        <w:tc>
          <w:tcPr>
            <w:tcW w:w="1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(1,775)</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8,002</w:t>
            </w:r>
          </w:p>
        </w:tc>
        <w:tc>
          <w:tcPr>
            <w:tcW w:w="1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212"/>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hedge</w:t>
            </w:r>
          </w:p>
        </w:tc>
        <w:tc>
          <w:tcPr>
            <w:tcW w:w="276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02" w:lineRule="exact"/>
        <w:rPr>
          <w:sz w:val="20"/>
          <w:szCs w:val="20"/>
          <w:color w:val="auto"/>
        </w:rPr>
      </w:pPr>
    </w:p>
    <w:p>
      <w:pPr>
        <w:ind w:right="280" w:firstLine="324"/>
        <w:spacing w:after="0" w:line="311" w:lineRule="auto"/>
        <w:rPr>
          <w:sz w:val="20"/>
          <w:szCs w:val="20"/>
          <w:color w:val="auto"/>
        </w:rPr>
      </w:pPr>
      <w:r>
        <w:rPr>
          <w:rFonts w:ascii="Arial" w:cs="Arial" w:eastAsia="Arial" w:hAnsi="Arial"/>
          <w:sz w:val="16"/>
          <w:szCs w:val="16"/>
          <w:color w:val="auto"/>
        </w:rPr>
        <w:t>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categories within the valuation hierarchy are described as follows:</w:t>
      </w:r>
    </w:p>
    <w:p>
      <w:pPr>
        <w:spacing w:after="0" w:line="10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Inputs to the fair value measurement are quoted prices in active markets for identical assets or liabilities.</w:t>
      </w:r>
    </w:p>
    <w:p>
      <w:pPr>
        <w:spacing w:after="0" w:line="23" w:lineRule="exact"/>
        <w:rPr>
          <w:rFonts w:ascii="Arial" w:cs="Arial" w:eastAsia="Arial" w:hAnsi="Arial"/>
          <w:sz w:val="18"/>
          <w:szCs w:val="18"/>
          <w:color w:val="auto"/>
        </w:rPr>
      </w:pPr>
    </w:p>
    <w:p>
      <w:pPr>
        <w:jc w:val="both"/>
        <w:ind w:left="660" w:right="12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Inputs to the fair value measurement are unobservable inputs or valuation techniques.</w:t>
      </w:r>
    </w:p>
    <w:p>
      <w:pPr>
        <w:spacing w:after="0" w:line="170"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9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i w:val="1"/>
          <w:iCs w:val="1"/>
          <w:color w:val="auto"/>
        </w:rPr>
        <w:t>First Lien Term Loan</w:t>
      </w:r>
      <w:r>
        <w:rPr>
          <w:rFonts w:ascii="Arial" w:cs="Arial" w:eastAsia="Arial" w:hAnsi="Arial"/>
          <w:sz w:val="18"/>
          <w:szCs w:val="18"/>
          <w:color w:val="auto"/>
        </w:rPr>
        <w:t>: The fair value of the First Lien Term Loan is derived from a broker quote on the loans in the syndication (Level 2 inputs). See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 10, </w:t>
      </w:r>
      <w:r>
        <w:rPr>
          <w:rFonts w:ascii="Arial" w:cs="Arial" w:eastAsia="Arial" w:hAnsi="Arial"/>
          <w:sz w:val="18"/>
          <w:szCs w:val="18"/>
          <w:i w:val="1"/>
          <w:iCs w:val="1"/>
          <w:color w:val="auto"/>
        </w:rPr>
        <w:t>Indebtedness</w:t>
      </w:r>
      <w:r>
        <w:rPr>
          <w:rFonts w:ascii="Arial" w:cs="Arial" w:eastAsia="Arial" w:hAnsi="Arial"/>
          <w:sz w:val="18"/>
          <w:szCs w:val="18"/>
          <w:color w:val="auto"/>
        </w:rPr>
        <w:t>, for further discussion of the carrying amount and fair value of the First Lien Term Loan.</w:t>
      </w:r>
    </w:p>
    <w:p>
      <w:pPr>
        <w:spacing w:after="0" w:line="13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The fair value of the Senior Notes is derived from a broker quote (Level 2 inputs). See Note 10,</w:t>
      </w:r>
      <w:r>
        <w:rPr>
          <w:rFonts w:ascii="Arial" w:cs="Arial" w:eastAsia="Arial" w:hAnsi="Arial"/>
          <w:sz w:val="18"/>
          <w:szCs w:val="18"/>
          <w:i w:val="1"/>
          <w:iCs w:val="1"/>
          <w:color w:val="auto"/>
        </w:rPr>
        <w:t xml:space="preserve"> Indebtedness</w:t>
      </w:r>
      <w:r>
        <w:rPr>
          <w:rFonts w:ascii="Arial" w:cs="Arial" w:eastAsia="Arial" w:hAnsi="Arial"/>
          <w:sz w:val="18"/>
          <w:szCs w:val="18"/>
          <w:color w:val="auto"/>
        </w:rPr>
        <w:t>, for further discussion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carrying amount and fair value of the Senior Notes.</w:t>
      </w:r>
    </w:p>
    <w:p>
      <w:pPr>
        <w:spacing w:after="0" w:line="130"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i w:val="1"/>
          <w:iCs w:val="1"/>
          <w:color w:val="auto"/>
        </w:rPr>
        <w:t xml:space="preserve">Interest Rate Cap: </w:t>
      </w:r>
      <w:r>
        <w:rPr>
          <w:rFonts w:ascii="Arial" w:cs="Arial" w:eastAsia="Arial" w:hAnsi="Arial"/>
          <w:sz w:val="18"/>
          <w:szCs w:val="18"/>
          <w:color w:val="auto"/>
        </w:rPr>
        <w:t>The fair value of the interest rate cap is derived from the interest rates prevalent in the market and future expectations of those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rates (Level 2 inputs). The Company determines the fair value of the investments based on quoted prices from third-party brokers. See Note 11,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further discussion of the fair value of the interest rate cap.</w:t>
      </w:r>
    </w:p>
    <w:p>
      <w:pPr>
        <w:spacing w:after="0" w:line="15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The fair value of the money market funds is derived from the closing price reported by the fund sponsor and classified as cash</w:t>
      </w:r>
      <w:r>
        <w:rPr>
          <w:rFonts w:ascii="Arial" w:cs="Arial" w:eastAsia="Arial" w:hAnsi="Arial"/>
          <w:sz w:val="18"/>
          <w:szCs w:val="18"/>
          <w:i w:val="1"/>
          <w:iCs w:val="1"/>
          <w:color w:val="auto"/>
        </w:rPr>
        <w:t xml:space="preserve"> </w:t>
      </w:r>
      <w:r>
        <w:rPr>
          <w:rFonts w:ascii="Arial" w:cs="Arial" w:eastAsia="Arial" w:hAnsi="Arial"/>
          <w:sz w:val="18"/>
          <w:szCs w:val="18"/>
          <w:color w:val="auto"/>
        </w:rPr>
        <w:t>and cash equivalents on the Company’s condensed consolidated balance sheets (Level 1 inputs).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other material assets or liabilities measured at fair value at September 30, 2023 and December 31,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0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is involved in legal proceedings and is subject to investigations, inspections, audits, inquiries, and similar actions by governmental authorities, arising in the normal course of the Company’s business. Some of these suits may purport or may be determined to be class actions and/or involve parties seeking large and/or indeterminate amounts, including punitive or exemplary damages, and may remain unresolved for several years. From time to time, the Company may also be involved in legal proceedings as a plaintiff involving antitrust, tax, contract, intellectual property, and other matters. Gain contingencies, if any, are recognized when they are realized.</w:t>
      </w:r>
    </w:p>
    <w:p>
      <w:pPr>
        <w:spacing w:after="0" w:line="147"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results of legal proceedings are often uncertain and difficult to predict, and the costs incurred in litigation can be substantial, regardless of the outcome. The Company believes that its defenses and assertions in pending legal proceedings have merit and does not believe that any of these pending matters, after consideration of applicable reserves and rights to indemnification, will have a material adverse effect on the Company’s condensed consolidated balance sheets.</w:t>
      </w:r>
    </w:p>
    <w:p>
      <w:pPr>
        <w:spacing w:after="0" w:line="146"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INCENTIVE COMPENSATION</w:t>
      </w:r>
    </w:p>
    <w:p>
      <w:pPr>
        <w:spacing w:after="0" w:line="198"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b w:val="1"/>
          <w:bCs w:val="1"/>
          <w:color w:val="auto"/>
        </w:rPr>
        <w:t xml:space="preserve">Equity Incentive Plans </w:t>
      </w:r>
      <w:r>
        <w:rPr>
          <w:rFonts w:ascii="Arial" w:cs="Arial" w:eastAsia="Arial" w:hAnsi="Arial"/>
          <w:sz w:val="17"/>
          <w:szCs w:val="17"/>
          <w:color w:val="auto"/>
        </w:rPr>
        <w:t>— Under the Company’s 2018 Equity Incentive Plan (the “2018 Plan”), approved at the annual meeting by the BioScrip</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on May 3, 2018 and amended and restated on May 19, 2021, the Company may issue, among other things, incentive stock options, non-qualified stock options, stock appreciation rights, restricted stock units, stock grants, and performance units to key employees and directors, resulting in a total of 9,101,734 shares of common stock authorized for issuance. The 2018 Plan is administered by the Company’s Compensation Committee, a standing committee of the Company’s Board of Directors. The Company had stock options, restricted stock units and performance stock units outstanding related to the 2018 Plan as of September 30, 2023 and 2022. During the three and nine months ended September 30, 2023, total stock-based incentive compensation expense recognized by the Company related to the 2018 Plan was $9.2 million and $22.9 million, respectively. During the three and nine months ended September 30, 2022, total stock-based incentive compensation expense recognized by the Company related to the 2018 Plan was $4.0 million and $12.6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185" w:lineRule="exact"/>
        <w:rPr>
          <w:sz w:val="20"/>
          <w:szCs w:val="20"/>
          <w:color w:val="auto"/>
        </w:rPr>
      </w:pPr>
    </w:p>
    <w:p>
      <w:pPr>
        <w:ind w:right="160" w:firstLine="324"/>
        <w:spacing w:after="0" w:line="258" w:lineRule="auto"/>
        <w:rPr>
          <w:sz w:val="20"/>
          <w:szCs w:val="20"/>
          <w:color w:val="auto"/>
        </w:rPr>
      </w:pPr>
      <w:r>
        <w:rPr>
          <w:rFonts w:ascii="Arial" w:cs="Arial" w:eastAsia="Arial" w:hAnsi="Arial"/>
          <w:sz w:val="18"/>
          <w:szCs w:val="18"/>
          <w:b w:val="1"/>
          <w:bCs w:val="1"/>
          <w:color w:val="auto"/>
        </w:rPr>
        <w:t xml:space="preserve">2017 Warrants </w:t>
      </w:r>
      <w:r>
        <w:rPr>
          <w:rFonts w:ascii="Arial" w:cs="Arial" w:eastAsia="Arial" w:hAnsi="Arial"/>
          <w:sz w:val="18"/>
          <w:szCs w:val="18"/>
          <w:color w:val="auto"/>
        </w:rPr>
        <w:t>— During the three and nine months ended September 30, 2023, warrant holders elected to exercise 188,350 warrants to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During the three months ended September 30, 2022, warrant holders did not elect to exercise any warrants to purchase shares of common stock. During the nine months ended September 30, 2022, warrant holders elected to exercise 1,130,089 warrants to purchase shares of common stock. As of September 30, 2023 and December 31, 2022, the remaining warrant holders are entitled to purchase 51,838 and 240,188 shares of common stock, respectively.</w:t>
      </w:r>
    </w:p>
    <w:p>
      <w:pPr>
        <w:spacing w:after="0" w:line="156"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b w:val="1"/>
          <w:bCs w:val="1"/>
          <w:color w:val="auto"/>
        </w:rPr>
        <w:t xml:space="preserve">2015 Warrants </w:t>
      </w:r>
      <w:r>
        <w:rPr>
          <w:rFonts w:ascii="Arial" w:cs="Arial" w:eastAsia="Arial" w:hAnsi="Arial"/>
          <w:sz w:val="18"/>
          <w:szCs w:val="18"/>
          <w:color w:val="auto"/>
        </w:rPr>
        <w:t>— During the three and nine months ended September 30, 2023, warrant holders exercised an immaterial number of warrants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shares of common stock. During the three and nine months ended September 30, 2022, warrant holders elected to exercise 31,968 and 900,272 warrants to purchase shares of common stock, respectively. As of September 30, 2023 and December 31, 2022, the remaining warrant holders are entitled to purchase 13,892 and 15,231 shares of common stock, respectively.</w:t>
      </w:r>
    </w:p>
    <w:p>
      <w:pPr>
        <w:spacing w:after="0" w:line="139" w:lineRule="exact"/>
        <w:rPr>
          <w:sz w:val="20"/>
          <w:szCs w:val="20"/>
          <w:color w:val="auto"/>
        </w:rPr>
      </w:pPr>
    </w:p>
    <w:p>
      <w:pPr>
        <w:ind w:right="40" w:firstLine="324"/>
        <w:spacing w:after="0" w:line="314" w:lineRule="auto"/>
        <w:rPr>
          <w:sz w:val="20"/>
          <w:szCs w:val="20"/>
          <w:color w:val="auto"/>
        </w:rPr>
      </w:pPr>
      <w:r>
        <w:rPr>
          <w:rFonts w:ascii="Arial" w:cs="Arial" w:eastAsia="Arial" w:hAnsi="Arial"/>
          <w:sz w:val="16"/>
          <w:szCs w:val="16"/>
          <w:b w:val="1"/>
          <w:bCs w:val="1"/>
          <w:color w:val="auto"/>
        </w:rPr>
        <w:t xml:space="preserve">Share Repurchase Program </w:t>
      </w:r>
      <w:r>
        <w:rPr>
          <w:rFonts w:ascii="Arial" w:cs="Arial" w:eastAsia="Arial" w:hAnsi="Arial"/>
          <w:sz w:val="16"/>
          <w:szCs w:val="16"/>
          <w:color w:val="auto"/>
        </w:rPr>
        <w:t>— On February 20, 2023, the Company’s Board of Directors approved a share repurchase program of up to an aggregate</w:t>
      </w:r>
      <w:r>
        <w:rPr>
          <w:rFonts w:ascii="Arial" w:cs="Arial" w:eastAsia="Arial" w:hAnsi="Arial"/>
          <w:sz w:val="16"/>
          <w:szCs w:val="16"/>
          <w:b w:val="1"/>
          <w:bCs w:val="1"/>
          <w:color w:val="auto"/>
        </w:rPr>
        <w:t xml:space="preserve"> </w:t>
      </w:r>
      <w:r>
        <w:rPr>
          <w:rFonts w:ascii="Arial" w:cs="Arial" w:eastAsia="Arial" w:hAnsi="Arial"/>
          <w:sz w:val="16"/>
          <w:szCs w:val="16"/>
          <w:color w:val="auto"/>
        </w:rPr>
        <w:t>$250.0 million of common stock of the Company. Under the share repurchase program, repurchases may occur in any number of methods depending on timing, market conditions, regulatory requirements, and other corporate considerations. The share repurchase program has no specified expiration date.</w:t>
      </w:r>
    </w:p>
    <w:p>
      <w:pPr>
        <w:spacing w:after="0" w:line="10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During the three and nine months ended September 30, 2023, the Company purchased 2,913,520 and 5,388,686 shares of common stock for an average share price of $34.32 and $32.48, totaling $100.0 million and $175.0 million, respectively. All repurchased shares became treasury stock. As of September 30, 2023, the Company is authorized to repurchase up to a remaining $75.0 million of common stock of the Company.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RELATED-PARTY TRANSACTIONS</w:t>
      </w:r>
    </w:p>
    <w:p>
      <w:pPr>
        <w:spacing w:after="0" w:line="185" w:lineRule="exact"/>
        <w:rPr>
          <w:sz w:val="20"/>
          <w:szCs w:val="20"/>
          <w:color w:val="auto"/>
        </w:rPr>
      </w:pPr>
    </w:p>
    <w:p>
      <w:pPr>
        <w:ind w:right="120" w:firstLine="324"/>
        <w:spacing w:after="0" w:line="292" w:lineRule="auto"/>
        <w:rPr>
          <w:sz w:val="20"/>
          <w:szCs w:val="20"/>
          <w:color w:val="auto"/>
        </w:rPr>
      </w:pPr>
      <w:r>
        <w:rPr>
          <w:rFonts w:ascii="Arial" w:cs="Arial" w:eastAsia="Arial" w:hAnsi="Arial"/>
          <w:sz w:val="16"/>
          <w:szCs w:val="16"/>
          <w:b w:val="1"/>
          <w:bCs w:val="1"/>
          <w:color w:val="auto"/>
        </w:rPr>
        <w:t xml:space="preserve">Transactions with Equity-Method Investees </w:t>
      </w:r>
      <w:r>
        <w:rPr>
          <w:rFonts w:ascii="Arial" w:cs="Arial" w:eastAsia="Arial" w:hAnsi="Arial"/>
          <w:sz w:val="16"/>
          <w:szCs w:val="16"/>
          <w:color w:val="auto"/>
        </w:rPr>
        <w:t>— The Company provides management services to its joint ventures such as accounting, invoicing and</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collections in addition to day-to-day managerial support of the operations of the businesses. The Company recorded management fee income of $1.3 million and $3.9 million for the three and nine months ended September 30, 2023, respectively. The Company recorded management fee income of $1.1 million and $2.9 million for the three and nine months ended September 30, 2022, respectively. Management fees are recorded in net revenues in the accompanying unaudited condensed consolidated statements of comprehensive income. During the three and nine months ended September 30, 2023, the Company received distributions from the investees of $1.5 million and $4.0 million, respectively. During the three and nine months ended September 30, 2022, the Company received distributions from the investees of $1.5 million and $2.5 million, respectively.</w:t>
      </w:r>
    </w:p>
    <w:p>
      <w:pPr>
        <w:spacing w:after="0" w:line="1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Company had an amounts due from its joint ventures of $0.2 million and due to its joint ventures of $0.6 million as of September 30, 2023. Receivables were included in prepaid expenses and other current assets in the accompanying condensed consolidated balance sheets. Payables were included in accrued expenses and other current liabilities in the accompanying condensed consolidated balance sheets. The Company also had amounts due to its joint ventures of $1.5 million as of December 31, 2022. These payables were included in accrued expenses and other current liabilities in the accompanying condensed consolidated balance sheets. These balances primarily relate to cash collections received by the Company on behalf of the joint ventures, offset by certain pharmaceutical inventories and other expenses paid for by the Company on behalf of the joint ventures.</w:t>
      </w:r>
    </w:p>
    <w:p>
      <w:pPr>
        <w:spacing w:after="0" w:line="133"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b w:val="1"/>
          <w:bCs w:val="1"/>
          <w:color w:val="auto"/>
        </w:rPr>
        <w:t xml:space="preserve">Share Repurchase Agreement </w:t>
      </w:r>
      <w:r>
        <w:rPr>
          <w:rFonts w:ascii="Arial" w:cs="Arial" w:eastAsia="Arial" w:hAnsi="Arial"/>
          <w:sz w:val="18"/>
          <w:szCs w:val="18"/>
          <w:color w:val="auto"/>
        </w:rPr>
        <w:t>— On February 28, 2023, we entered into a Share Repurchase Agreement (the “Share Repurchase Agreement”)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HC I, pursuant to which we agreed to repurchase, subject to the terms and conditions contained therein, up to $75.0 million of our common stock then held by HC I at the same purchase price per share as the underwriter in a concurrent underwritten public offering of our common stock held by HC I. On March 3, 2023, the transactions contemplated by the Share Repurchase Agreement closed, and we repurchased directly from HC I 2,475,166 shares of our common stock.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Unless the context requires otherwise, references in this report to "Option Care Health," the “Company,” “we,” “us” and “our” refer to Option Care Health, Inc. and its consolidated subsidiaries. Management’s discussion and analysis of financial condition and results of operations (“MD&amp;A”) is intended to assist the reader in understanding and assessing significant changes and trends related to our results of operations and financial condition. The following discussion and analysis should be read in conjunction with the Company’s unaudited condensed consolidated financial statements and the related notes thereto included in Item 1 of Part I of this Quarterly Report on Form 10-Q (this “Form 10-Q”). Certain statements in this Item 2 of Part I of this Form 10-Q, and in Item 1A, “Risk Factors” of Part I of our Annual Report on Form 10-K for the year ended December 31, 2022 (our “Form 10-K”), may cause our actual results, financial position, and cash and cash equivalents generated from operations to differ materially from these forward-looking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8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Option Care Health, and its wholly-owned subsidiaries, provides infusion therapy and other ancillary health care services through a national network of 174 locations around the United States. 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and dietitians work with the physician to develop a plan of care suited to each patient’s specific needs. We provide home infusion services consisting of anti-infectives, nutrition support, bleeding disorder therapies, immunoglobulin therapy, and other therapies for chronic and acute conditions.</w:t>
      </w:r>
    </w:p>
    <w:p>
      <w:pPr>
        <w:spacing w:after="0" w:line="16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On April 7, 2015, HC I and HC II collectively acquired Walgreens Infusion Services, Inc. and its subsidiaries from Walgreen Co., and the business was rebranded as Option Care.</w:t>
      </w:r>
    </w:p>
    <w:p>
      <w:pPr>
        <w:spacing w:after="0" w:line="130"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On March 14, 2019, HC I and HC II entered into the Merger Agreement to merge with and into a wholly-owned subsidiary of BioScrip, a national provider of infusion and home care management solutions, which was completed on August 6, 2019. Following the close of the transaction, BioScrip was rebranded as Option Care Health.</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the Impact of the COVID-19 Pandemic</w:t>
      </w:r>
    </w:p>
    <w:p>
      <w:pPr>
        <w:spacing w:after="0" w:line="20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On May 11, 2023 the Department of Health and Human Services declared the COVID-19 pandemic is no longer a public health emergency. The Company anticipates that new variants could affect its operations for an extended period; however, at this time we cannot confidently forecast the duration or the ultimate financial impact on our operations.</w:t>
      </w:r>
    </w:p>
    <w:p>
      <w:pPr>
        <w:spacing w:after="0" w:line="14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See Item 1A. “Risk Factors” under the caption “The COVID-19 pandemic and other potential pandemic events could adversely impact our business, results of operations, cash flows and financial position” included in our Form 10-K for further discussion of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Results of Operations</w:t>
      </w:r>
    </w:p>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results of operations include the accounts of Option Care Health and our subsidiaries for the three and nine months ended September 30, 2023 and 2022.</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profit represents our net revenue less cost of revenue.</w:t>
      </w:r>
    </w:p>
    <w:p>
      <w:pPr>
        <w:spacing w:after="0" w:line="198"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i w:val="1"/>
          <w:iCs w:val="1"/>
          <w:color w:val="auto"/>
        </w:rPr>
        <w:t xml:space="preserve">Net Revenue. </w:t>
      </w:r>
      <w:r>
        <w:rPr>
          <w:rFonts w:ascii="Arial" w:cs="Arial" w:eastAsia="Arial" w:hAnsi="Arial"/>
          <w:sz w:val="18"/>
          <w:szCs w:val="18"/>
          <w:color w:val="auto"/>
        </w:rPr>
        <w:t>Infusion and related health care services revenue is reported at the estimated net realizable amounts from third-party payers and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goods sold and services rendered. When pharmaceuticals are provided to a patient, revenue is recognized upon delivery of the goods. When nursing services are provided, revenue is recognized when the services are rendered.</w:t>
      </w:r>
    </w:p>
    <w:p>
      <w:pPr>
        <w:spacing w:after="0" w:line="143"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of the actual cost of pharmaceuticals and other medical supplies dispensed to patients. In addition to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costs, 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spacing w:after="0" w:line="160"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8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consist principally of salaries for administrative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that directly and indirectly support the operations, occupancy costs, marketing expenditures, insurance, and professional fees.</w:t>
      </w:r>
    </w:p>
    <w:p>
      <w:pPr>
        <w:spacing w:after="0" w:line="11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Depreciation and Amortization Expense. </w:t>
      </w:r>
      <w:r>
        <w:rPr>
          <w:rFonts w:ascii="Arial" w:cs="Arial" w:eastAsia="Arial" w:hAnsi="Arial"/>
          <w:sz w:val="18"/>
          <w:szCs w:val="18"/>
          <w:color w:val="auto"/>
        </w:rPr>
        <w:t>Depreciation within this caption relates to fixed assets and amortization relates to intangibles. Depreciation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revenue-generating assets, such as infusion pumps, is included in cost of revenue.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85"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consists principally of interest payments on the Company’s outstanding borrowings under the ABL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First Lien Term Loan, Senior Notes, amortization of discount and deferred financing fees, payments associated with the interest rate cap, and interest income earned on cash and cash equivalents. Refer to the “Liquidity and Capital Resources” section below for further discussion of these outstanding borrowings.</w:t>
      </w:r>
    </w:p>
    <w:p>
      <w:pPr>
        <w:spacing w:after="0" w:line="16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i w:val="1"/>
          <w:iCs w:val="1"/>
          <w:color w:val="auto"/>
        </w:rPr>
        <w:t>Equity in Earnings of Joint Ventures</w:t>
      </w:r>
      <w:r>
        <w:rPr>
          <w:rFonts w:ascii="Arial" w:cs="Arial" w:eastAsia="Arial" w:hAnsi="Arial"/>
          <w:sz w:val="18"/>
          <w:szCs w:val="18"/>
          <w:color w:val="auto"/>
        </w:rPr>
        <w:t>. Equity in earnings of joint ventures consists of our proportionate share of equity earnings or losses from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two infusion joint ventures with health systems.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income (expense) primarily includes activity related to non-operating income and expenses.</w:t>
      </w:r>
    </w:p>
    <w:p>
      <w:pPr>
        <w:spacing w:after="0" w:line="18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The Company is subject to taxation in the United States and various states. The Company’s income tax expense is reflective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federal and state tax rates.</w:t>
      </w:r>
    </w:p>
    <w:p>
      <w:pPr>
        <w:spacing w:after="0" w:line="143"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i w:val="1"/>
          <w:iCs w:val="1"/>
          <w:color w:val="auto"/>
        </w:rPr>
        <w:t>Change in Unrealized Gains (Losses) on Cash Flow Hedges, Net of Income Tax Benefit (Expense)</w:t>
      </w:r>
      <w:r>
        <w:rPr>
          <w:rFonts w:ascii="Arial" w:cs="Arial" w:eastAsia="Arial" w:hAnsi="Arial"/>
          <w:sz w:val="18"/>
          <w:szCs w:val="18"/>
          <w:color w:val="auto"/>
        </w:rPr>
        <w:t>. Change in unrealized gains (losses) on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hedges, net of income tax expense consists of the gains and losses associated with the changes in the fair value of derivatives designated as hedging instruments related to the interest rate cap hedge, net of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following table presents Option Care Health’s consolidated results of operations for the three and nine months ended September 30, 2023 and 2022 (in thousands, except for percentages):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580" w:type="dxa"/>
            <w:vAlign w:val="bottom"/>
            <w:gridSpan w:val="9"/>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60" w:type="dxa"/>
            <w:vAlign w:val="bottom"/>
            <w:gridSpan w:val="7"/>
          </w:tcPr>
          <w:p>
            <w:pPr>
              <w:jc w:val="right"/>
              <w:ind w:right="919"/>
              <w:spacing w:after="0"/>
              <w:rPr>
                <w:sz w:val="20"/>
                <w:szCs w:val="20"/>
                <w:color w:val="auto"/>
              </w:rPr>
            </w:pPr>
            <w:r>
              <w:rPr>
                <w:rFonts w:ascii="Arial" w:cs="Arial" w:eastAsia="Arial" w:hAnsi="Arial"/>
                <w:sz w:val="16"/>
                <w:szCs w:val="16"/>
                <w:b w:val="1"/>
                <w:bCs w:val="1"/>
                <w:color w:val="auto"/>
                <w:w w:val="92"/>
              </w:rPr>
              <w:t>Nine Months Ended September 30,</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gridSpan w:val="3"/>
          </w:tcPr>
          <w:p>
            <w:pPr>
              <w:jc w:val="right"/>
              <w:ind w:right="8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20" w:type="dxa"/>
            <w:vAlign w:val="bottom"/>
            <w:tcBorders>
              <w:top w:val="single" w:sz="8" w:color="auto"/>
              <w:bottom w:val="single" w:sz="8" w:color="auto"/>
            </w:tcBorders>
            <w:gridSpan w:val="3"/>
          </w:tcPr>
          <w:p>
            <w:pPr>
              <w:jc w:val="right"/>
              <w:ind w:right="8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gridSpan w:val="3"/>
          </w:tcPr>
          <w:p>
            <w:pPr>
              <w:jc w:val="right"/>
              <w:ind w:right="8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2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Amount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 of Revenue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 of Revenue</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 of Revenue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 of Revenue</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1,093,014</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1,020,918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3,177,934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2,917,522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3"/>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838,748</w:t>
            </w:r>
          </w:p>
        </w:tc>
        <w:tc>
          <w:tcPr>
            <w:tcW w:w="20" w:type="dxa"/>
            <w:vAlign w:val="bottom"/>
            <w:tcBorders>
              <w:bottom w:val="single" w:sz="8" w:color="auto"/>
            </w:tcBorders>
          </w:tcPr>
          <w:p>
            <w:pPr>
              <w:spacing w:after="0"/>
              <w:rPr>
                <w:sz w:val="18"/>
                <w:szCs w:val="18"/>
                <w:color w:val="auto"/>
              </w:rPr>
            </w:pP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76.7 %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802,917</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78.6 %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2,443,834</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76.9 %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2,281,685</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78.2 %</w:t>
            </w:r>
          </w:p>
        </w:tc>
        <w:tc>
          <w:tcPr>
            <w:tcW w:w="0" w:type="dxa"/>
            <w:vAlign w:val="bottom"/>
          </w:tcPr>
          <w:p>
            <w:pPr>
              <w:spacing w:after="0"/>
              <w:rPr>
                <w:sz w:val="1"/>
                <w:szCs w:val="1"/>
                <w:color w:val="auto"/>
              </w:rPr>
            </w:pPr>
          </w:p>
        </w:tc>
      </w:tr>
      <w:tr>
        <w:trPr>
          <w:trHeight w:val="213"/>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254,266</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23.3 %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218,001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21.4 %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734,100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635,837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21.8 %</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0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OPERATING COSTS AND</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00" w:type="dxa"/>
            <w:vAlign w:val="bottom"/>
          </w:tcPr>
          <w:p>
            <w:pPr>
              <w:ind w:left="140"/>
              <w:spacing w:after="0" w:line="166" w:lineRule="exact"/>
              <w:rPr>
                <w:sz w:val="20"/>
                <w:szCs w:val="20"/>
                <w:color w:val="auto"/>
              </w:rPr>
            </w:pPr>
            <w:r>
              <w:rPr>
                <w:rFonts w:ascii="Arial" w:cs="Arial" w:eastAsia="Arial" w:hAnsi="Arial"/>
                <w:sz w:val="16"/>
                <w:szCs w:val="16"/>
                <w:color w:val="auto"/>
              </w:rPr>
              <w:t>Selling, general and</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158,214</w:t>
            </w:r>
          </w:p>
        </w:tc>
        <w:tc>
          <w:tcPr>
            <w:tcW w:w="1200" w:type="dxa"/>
            <w:vAlign w:val="bottom"/>
            <w:gridSpan w:val="3"/>
            <w:vMerge w:val="restart"/>
          </w:tcPr>
          <w:p>
            <w:pPr>
              <w:jc w:val="right"/>
              <w:spacing w:after="0"/>
              <w:rPr>
                <w:sz w:val="20"/>
                <w:szCs w:val="20"/>
                <w:color w:val="auto"/>
              </w:rPr>
            </w:pPr>
            <w:r>
              <w:rPr>
                <w:rFonts w:ascii="Arial" w:cs="Arial" w:eastAsia="Arial" w:hAnsi="Arial"/>
                <w:sz w:val="16"/>
                <w:szCs w:val="16"/>
                <w:color w:val="auto"/>
              </w:rPr>
              <w:t>14.5 %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142,015</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13.9 %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459,644</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14.5 %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417,771</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14.3 %</w:t>
            </w:r>
          </w:p>
        </w:tc>
        <w:tc>
          <w:tcPr>
            <w:tcW w:w="0" w:type="dxa"/>
            <w:vAlign w:val="bottom"/>
          </w:tcPr>
          <w:p>
            <w:pPr>
              <w:spacing w:after="0"/>
              <w:rPr>
                <w:sz w:val="1"/>
                <w:szCs w:val="1"/>
                <w:color w:val="auto"/>
              </w:rPr>
            </w:pPr>
          </w:p>
        </w:tc>
      </w:tr>
      <w:tr>
        <w:trPr>
          <w:trHeight w:val="209"/>
        </w:trPr>
        <w:tc>
          <w:tcPr>
            <w:tcW w:w="2300" w:type="dxa"/>
            <w:vAlign w:val="bottom"/>
          </w:tcPr>
          <w:p>
            <w:pPr>
              <w:ind w:left="140"/>
              <w:spacing w:after="0"/>
              <w:rPr>
                <w:sz w:val="20"/>
                <w:szCs w:val="20"/>
                <w:color w:val="auto"/>
              </w:rPr>
            </w:pPr>
            <w:r>
              <w:rPr>
                <w:rFonts w:ascii="Arial" w:cs="Arial" w:eastAsia="Arial" w:hAnsi="Arial"/>
                <w:sz w:val="16"/>
                <w:szCs w:val="16"/>
                <w:color w:val="auto"/>
              </w:rPr>
              <w:t>administrative expenses</w:t>
            </w: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15,005</w:t>
            </w:r>
          </w:p>
        </w:tc>
        <w:tc>
          <w:tcPr>
            <w:tcW w:w="20" w:type="dxa"/>
            <w:vAlign w:val="bottom"/>
            <w:vMerge w:val="restart"/>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15,268</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44,417</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46,027</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expense</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173,219</w:t>
            </w:r>
          </w:p>
        </w:tc>
        <w:tc>
          <w:tcPr>
            <w:tcW w:w="20" w:type="dxa"/>
            <w:vAlign w:val="bottom"/>
            <w:tcBorders>
              <w:bottom w:val="single" w:sz="8" w:color="auto"/>
            </w:tcBorders>
          </w:tcPr>
          <w:p>
            <w:pPr>
              <w:spacing w:after="0"/>
              <w:rPr>
                <w:sz w:val="17"/>
                <w:szCs w:val="17"/>
                <w:color w:val="auto"/>
              </w:rPr>
            </w:pP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15.8 %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157,283</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15.4 %</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504,061</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15.9 %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463,798</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15.9 %</w:t>
            </w: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81,047</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60,718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230,039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172,039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199"/>
        </w:trPr>
        <w:tc>
          <w:tcPr>
            <w:tcW w:w="2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(11,786)</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(13,997)</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(38,816)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(39,008)</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9"/>
        </w:trPr>
        <w:tc>
          <w:tcPr>
            <w:tcW w:w="23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Equity in earnings of joint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12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1,472</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4,107</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4,065</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ventures</w:t>
            </w: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3,888</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84,487</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3,891</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09"/>
        </w:trPr>
        <w:tc>
          <w:tcPr>
            <w:tcW w:w="23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8"/>
              </w:rPr>
              <w:t>Total other (expense) income</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(10,962)</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49,778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9"/>
        </w:trPr>
        <w:tc>
          <w:tcPr>
            <w:tcW w:w="2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30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INCOME BEFORE INCOME</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70,085</w:t>
            </w:r>
          </w:p>
        </w:tc>
        <w:tc>
          <w:tcPr>
            <w:tcW w:w="12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6.4 %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52,081</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279,817</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140,987</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TAXES</w:t>
            </w: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13,783</w:t>
            </w:r>
          </w:p>
        </w:tc>
        <w:tc>
          <w:tcPr>
            <w:tcW w:w="20" w:type="dxa"/>
            <w:vAlign w:val="bottom"/>
            <w:tcBorders>
              <w:bottom w:val="single" w:sz="8" w:color="auto"/>
            </w:tcBorders>
          </w:tcPr>
          <w:p>
            <w:pPr>
              <w:spacing w:after="0"/>
              <w:rPr>
                <w:sz w:val="18"/>
                <w:szCs w:val="18"/>
                <w:color w:val="auto"/>
              </w:rPr>
            </w:pP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13,258</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69,904</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37,960</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33"/>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56,302</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38,823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103,027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0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OTHER COMPREHENSIVE</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INCOME (LOSS), NET OF TAX:</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00" w:type="dxa"/>
            <w:vAlign w:val="bottom"/>
          </w:tcPr>
          <w:p>
            <w:pPr>
              <w:ind w:left="140"/>
              <w:spacing w:after="0" w:line="166" w:lineRule="exact"/>
              <w:rPr>
                <w:sz w:val="20"/>
                <w:szCs w:val="20"/>
                <w:color w:val="auto"/>
              </w:rPr>
            </w:pPr>
            <w:r>
              <w:rPr>
                <w:rFonts w:ascii="Arial" w:cs="Arial" w:eastAsia="Arial" w:hAnsi="Arial"/>
                <w:sz w:val="16"/>
                <w:szCs w:val="16"/>
                <w:color w:val="auto"/>
                <w:w w:val="93"/>
              </w:rPr>
              <w:t>Change in unrealized gain (loss)</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140"/>
              <w:spacing w:after="0" w:line="162" w:lineRule="exact"/>
              <w:rPr>
                <w:sz w:val="20"/>
                <w:szCs w:val="20"/>
                <w:color w:val="auto"/>
              </w:rPr>
            </w:pPr>
            <w:r>
              <w:rPr>
                <w:rFonts w:ascii="Arial" w:cs="Arial" w:eastAsia="Arial" w:hAnsi="Arial"/>
                <w:sz w:val="16"/>
                <w:szCs w:val="16"/>
                <w:color w:val="auto"/>
              </w:rPr>
              <w:t>on cash flow hedges, net of</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140"/>
              <w:spacing w:after="0" w:line="162" w:lineRule="exact"/>
              <w:rPr>
                <w:sz w:val="20"/>
                <w:szCs w:val="20"/>
                <w:color w:val="auto"/>
              </w:rPr>
            </w:pPr>
            <w:r>
              <w:rPr>
                <w:rFonts w:ascii="Arial" w:cs="Arial" w:eastAsia="Arial" w:hAnsi="Arial"/>
                <w:sz w:val="16"/>
                <w:szCs w:val="16"/>
                <w:color w:val="auto"/>
                <w:w w:val="95"/>
              </w:rPr>
              <w:t>income tax benefit (expense) of</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140"/>
              <w:spacing w:after="0" w:line="162" w:lineRule="exact"/>
              <w:rPr>
                <w:sz w:val="20"/>
                <w:szCs w:val="20"/>
                <w:color w:val="auto"/>
              </w:rPr>
            </w:pPr>
            <w:r>
              <w:rPr>
                <w:rFonts w:ascii="Arial" w:cs="Arial" w:eastAsia="Arial" w:hAnsi="Arial"/>
                <w:sz w:val="16"/>
                <w:szCs w:val="16"/>
                <w:color w:val="auto"/>
                <w:w w:val="94"/>
              </w:rPr>
              <w:t>$8, $(1,398), $57, and $(5,917),</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9,255</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4"/>
                <w:szCs w:val="14"/>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24,962</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09"/>
        </w:trPr>
        <w:tc>
          <w:tcPr>
            <w:tcW w:w="2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respectively</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CCEEFF"/>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OTHER COMPREHENSIVE</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9,255</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24,962</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300" w:type="dxa"/>
            <w:vAlign w:val="bottom"/>
          </w:tcPr>
          <w:p>
            <w:pPr>
              <w:ind w:left="20"/>
              <w:spacing w:after="0" w:line="146" w:lineRule="exact"/>
              <w:rPr>
                <w:sz w:val="20"/>
                <w:szCs w:val="20"/>
                <w:color w:val="auto"/>
              </w:rPr>
            </w:pPr>
            <w:r>
              <w:rPr>
                <w:rFonts w:ascii="Arial" w:cs="Arial" w:eastAsia="Arial" w:hAnsi="Arial"/>
                <w:sz w:val="16"/>
                <w:szCs w:val="16"/>
                <w:color w:val="auto"/>
              </w:rPr>
              <w:t>NET COMPREHENSIVE</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56,355</w:t>
            </w:r>
          </w:p>
        </w:tc>
        <w:tc>
          <w:tcPr>
            <w:tcW w:w="1200" w:type="dxa"/>
            <w:vAlign w:val="bottom"/>
            <w:gridSpan w:val="3"/>
            <w:vMerge w:val="restart"/>
          </w:tcPr>
          <w:p>
            <w:pPr>
              <w:jc w:val="right"/>
              <w:spacing w:after="0"/>
              <w:rPr>
                <w:sz w:val="20"/>
                <w:szCs w:val="20"/>
                <w:color w:val="auto"/>
              </w:rPr>
            </w:pPr>
            <w:r>
              <w:rPr>
                <w:rFonts w:ascii="Arial" w:cs="Arial" w:eastAsia="Arial" w:hAnsi="Arial"/>
                <w:sz w:val="16"/>
                <w:szCs w:val="16"/>
                <w:color w:val="auto"/>
              </w:rPr>
              <w:t>5.2 %</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48,078</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4.7 %</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209,814</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127,989</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185"/>
        </w:trPr>
        <w:tc>
          <w:tcPr>
            <w:tcW w:w="2300" w:type="dxa"/>
            <w:vAlign w:val="bottom"/>
          </w:tcPr>
          <w:p>
            <w:pPr>
              <w:ind w:left="20"/>
              <w:spacing w:after="0"/>
              <w:rPr>
                <w:sz w:val="20"/>
                <w:szCs w:val="20"/>
                <w:color w:val="auto"/>
              </w:rPr>
            </w:pPr>
            <w:r>
              <w:rPr>
                <w:rFonts w:ascii="Arial" w:cs="Arial" w:eastAsia="Arial" w:hAnsi="Arial"/>
                <w:sz w:val="16"/>
                <w:szCs w:val="16"/>
                <w:color w:val="auto"/>
              </w:rPr>
              <w:t>INCOME</w:t>
            </w:r>
          </w:p>
        </w:tc>
        <w:tc>
          <w:tcPr>
            <w:tcW w:w="1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September 30, 2023 Compared to Three Months Ended September 30, 2022</w:t>
      </w:r>
    </w:p>
    <w:p>
      <w:pPr>
        <w:spacing w:after="0" w:line="20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tables present selected consolidated comparative results of operations from Option Care Health’s unaudited condensed consolidated financial statements for the three months ended September 30, 2023 and 2022.</w:t>
      </w: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 September 30,</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6"/>
                <w:szCs w:val="16"/>
                <w:b w:val="1"/>
                <w:bCs w:val="1"/>
                <w:color w:val="auto"/>
              </w:rPr>
              <w:t>Variance</w:t>
            </w:r>
          </w:p>
        </w:tc>
        <w:tc>
          <w:tcPr>
            <w:tcW w:w="8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(in thousands, except for percentages)</w:t>
            </w: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1,093,014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1,020,918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72,096</w:t>
            </w:r>
          </w:p>
        </w:tc>
        <w:tc>
          <w:tcPr>
            <w:tcW w:w="7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838,748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802,917</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35,831</w:t>
            </w:r>
          </w:p>
        </w:tc>
        <w:tc>
          <w:tcPr>
            <w:tcW w:w="7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23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254,266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218,001</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36,265</w:t>
            </w:r>
          </w:p>
        </w:tc>
        <w:tc>
          <w:tcPr>
            <w:tcW w:w="7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profit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4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23.3 %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21.4 %</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The increase in net revenue was primarily driven by organic growth in the Company’s portfolio of therapies, consisting of acute revenue that had mid-single-digit growth relative to the prior year while chronic revenue grew in the high-single-digits. The increase in net revenue was partially offset by the divestiture of respiratory therapy assets as well as therapies related to the treatment of ALS and pre-term labor. The increase in cost of revenue and gross profit was primarily driven by the growth in revenue, which outpaced the increase in cost of revenue primarily due to our disciplined procurement strategies, certain temporary favorable therapy pricing dynamics, and efficient utilization of our infusion suite network.</w:t>
      </w:r>
    </w:p>
    <w:p>
      <w:pPr>
        <w:sectPr>
          <w:pgSz w:w="11900" w:h="16838" w:orient="portrait"/>
          <w:cols w:equalWidth="0" w:num="1">
            <w:col w:w="11240"/>
          </w:cols>
          <w:pgMar w:left="320" w:top="121" w:right="339" w:bottom="1440" w:gutter="0" w:footer="0" w:header="0"/>
        </w:sect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right="980"/>
        <w:spacing w:after="0" w:line="352" w:lineRule="auto"/>
        <w:rPr>
          <w:sz w:val="20"/>
          <w:szCs w:val="20"/>
          <w:color w:val="auto"/>
        </w:rPr>
      </w:pPr>
      <w:r>
        <w:rPr>
          <w:rFonts w:ascii="Arial" w:cs="Arial" w:eastAsia="Arial" w:hAnsi="Arial"/>
          <w:sz w:val="14"/>
          <w:szCs w:val="14"/>
          <w:color w:val="auto"/>
        </w:rPr>
        <w:t>Selling, general and administrative expenses Depreciation and amortization expense</w:t>
      </w:r>
    </w:p>
    <w:p>
      <w:pPr>
        <w:ind w:left="140"/>
        <w:spacing w:after="0"/>
        <w:rPr>
          <w:sz w:val="20"/>
          <w:szCs w:val="20"/>
          <w:color w:val="auto"/>
        </w:rPr>
      </w:pPr>
      <w:r>
        <w:rPr>
          <w:rFonts w:ascii="Arial" w:cs="Arial" w:eastAsia="Arial" w:hAnsi="Arial"/>
          <w:sz w:val="16"/>
          <w:szCs w:val="16"/>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320" w:type="dxa"/>
            <w:vAlign w:val="bottom"/>
          </w:tcPr>
          <w:p>
            <w:pPr>
              <w:spacing w:after="0"/>
              <w:rPr>
                <w:sz w:val="18"/>
                <w:szCs w:val="18"/>
                <w:color w:val="auto"/>
              </w:rPr>
            </w:pPr>
          </w:p>
        </w:tc>
        <w:tc>
          <w:tcPr>
            <w:tcW w:w="336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gridSpan w:val="2"/>
          </w:tcPr>
          <w:p>
            <w:pPr>
              <w:ind w:left="700"/>
              <w:spacing w:after="0"/>
              <w:rPr>
                <w:sz w:val="20"/>
                <w:szCs w:val="20"/>
                <w:color w:val="auto"/>
              </w:rPr>
            </w:pPr>
            <w:r>
              <w:rPr>
                <w:rFonts w:ascii="Arial" w:cs="Arial" w:eastAsia="Arial" w:hAnsi="Arial"/>
                <w:sz w:val="16"/>
                <w:szCs w:val="16"/>
                <w:b w:val="1"/>
                <w:bCs w:val="1"/>
                <w:color w:val="auto"/>
              </w:rPr>
              <w:t>Variance</w:t>
            </w:r>
          </w:p>
        </w:tc>
        <w:tc>
          <w:tcPr>
            <w:tcW w:w="820" w:type="dxa"/>
            <w:vAlign w:val="bottom"/>
            <w:tcBorders>
              <w:top w:val="single" w:sz="8" w:color="auto"/>
              <w:bottom w:val="single" w:sz="8" w:color="auto"/>
            </w:tcBorders>
          </w:tcPr>
          <w:p>
            <w:pPr>
              <w:spacing w:after="0"/>
              <w:rPr>
                <w:sz w:val="18"/>
                <w:szCs w:val="18"/>
                <w:color w:val="auto"/>
              </w:rPr>
            </w:pPr>
          </w:p>
        </w:tc>
      </w:tr>
      <w:tr>
        <w:trPr>
          <w:trHeight w:val="247"/>
        </w:trPr>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20" w:type="dxa"/>
            <w:vAlign w:val="bottom"/>
            <w:gridSpan w:val="5"/>
          </w:tcPr>
          <w:p>
            <w:pPr>
              <w:ind w:left="20"/>
              <w:spacing w:after="0"/>
              <w:rPr>
                <w:sz w:val="20"/>
                <w:szCs w:val="20"/>
                <w:color w:val="auto"/>
              </w:rPr>
            </w:pPr>
            <w:r>
              <w:rPr>
                <w:rFonts w:ascii="Arial" w:cs="Arial" w:eastAsia="Arial" w:hAnsi="Arial"/>
                <w:sz w:val="16"/>
                <w:szCs w:val="16"/>
                <w:b w:val="1"/>
                <w:bCs w:val="1"/>
                <w:color w:val="auto"/>
              </w:rPr>
              <w:t>(in thousands, except for percentages)</w:t>
            </w:r>
          </w:p>
        </w:tc>
        <w:tc>
          <w:tcPr>
            <w:tcW w:w="820" w:type="dxa"/>
            <w:vAlign w:val="bottom"/>
          </w:tcPr>
          <w:p>
            <w:pPr>
              <w:spacing w:after="0"/>
              <w:rPr>
                <w:sz w:val="21"/>
                <w:szCs w:val="21"/>
                <w:color w:val="auto"/>
              </w:rPr>
            </w:pPr>
          </w:p>
        </w:tc>
      </w:tr>
      <w:tr>
        <w:trPr>
          <w:trHeight w:val="216"/>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158,214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142,015</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16,199</w:t>
            </w:r>
          </w:p>
        </w:tc>
        <w:tc>
          <w:tcPr>
            <w:tcW w:w="7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11.4 %</w:t>
            </w:r>
          </w:p>
        </w:tc>
      </w:tr>
      <w:tr>
        <w:trPr>
          <w:trHeight w:val="219"/>
        </w:trPr>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15,268</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7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173,219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157,283</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15,936</w:t>
            </w:r>
          </w:p>
        </w:tc>
        <w:tc>
          <w:tcPr>
            <w:tcW w:w="7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10.1 %</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-453390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-179705</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620"/>
          </w:cols>
          <w:pgMar w:left="320" w:top="121" w:right="339" w:bottom="1440" w:gutter="0" w:footer="0" w:header="0"/>
          <w:type w:val="continuous"/>
        </w:sectPr>
      </w:pPr>
    </w:p>
    <w:p>
      <w:pPr>
        <w:spacing w:after="0" w:line="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increase in selling, general and administrative expenses is primarily due to an increase in salaries, benefits and equity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368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September 30,</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2"/>
          </w:tcPr>
          <w:p>
            <w:pPr>
              <w:ind w:left="680"/>
              <w:spacing w:after="0"/>
              <w:rPr>
                <w:sz w:val="20"/>
                <w:szCs w:val="20"/>
                <w:color w:val="auto"/>
              </w:rPr>
            </w:pPr>
            <w:r>
              <w:rPr>
                <w:rFonts w:ascii="Arial" w:cs="Arial" w:eastAsia="Arial" w:hAnsi="Arial"/>
                <w:sz w:val="16"/>
                <w:szCs w:val="16"/>
                <w:b w:val="1"/>
                <w:bCs w:val="1"/>
                <w:color w:val="auto"/>
              </w:rPr>
              <w:t>Variance</w:t>
            </w:r>
          </w:p>
        </w:tc>
        <w:tc>
          <w:tcPr>
            <w:tcW w:w="900" w:type="dxa"/>
            <w:vAlign w:val="bottom"/>
            <w:tcBorders>
              <w:top w:val="single" w:sz="8" w:color="auto"/>
              <w:bottom w:val="single" w:sz="8" w:color="auto"/>
            </w:tcBorders>
          </w:tcPr>
          <w:p>
            <w:pPr>
              <w:spacing w:after="0"/>
              <w:rPr>
                <w:sz w:val="18"/>
                <w:szCs w:val="18"/>
                <w:color w:val="auto"/>
              </w:rPr>
            </w:pPr>
          </w:p>
        </w:tc>
      </w:tr>
      <w:tr>
        <w:trPr>
          <w:trHeight w:val="250"/>
        </w:trPr>
        <w:tc>
          <w:tcPr>
            <w:tcW w:w="4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40" w:type="dxa"/>
            <w:vAlign w:val="bottom"/>
            <w:gridSpan w:val="5"/>
          </w:tcPr>
          <w:p>
            <w:pPr>
              <w:ind w:left="20"/>
              <w:spacing w:after="0"/>
              <w:rPr>
                <w:sz w:val="20"/>
                <w:szCs w:val="20"/>
                <w:color w:val="auto"/>
              </w:rPr>
            </w:pPr>
            <w:r>
              <w:rPr>
                <w:rFonts w:ascii="Arial" w:cs="Arial" w:eastAsia="Arial" w:hAnsi="Arial"/>
                <w:sz w:val="16"/>
                <w:szCs w:val="16"/>
                <w:b w:val="1"/>
                <w:bCs w:val="1"/>
                <w:color w:val="auto"/>
              </w:rPr>
              <w:t>(in thousands, except for percentages)</w:t>
            </w:r>
          </w:p>
        </w:tc>
        <w:tc>
          <w:tcPr>
            <w:tcW w:w="900" w:type="dxa"/>
            <w:vAlign w:val="bottom"/>
          </w:tcPr>
          <w:p>
            <w:pPr>
              <w:spacing w:after="0"/>
              <w:rPr>
                <w:sz w:val="21"/>
                <w:szCs w:val="21"/>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(11,786)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w:t>
            </w: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Equity in earnings of joint ventures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1,472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(199)</w:t>
            </w:r>
          </w:p>
        </w:tc>
        <w:tc>
          <w:tcPr>
            <w:tcW w:w="7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3,888</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(4,337)</w:t>
            </w: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w:t>
            </w: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rPr>
              <w:t>Total other expense</w:t>
            </w: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(10,962)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(8,637)</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(2,325)</w:t>
            </w:r>
          </w:p>
        </w:tc>
        <w:tc>
          <w:tcPr>
            <w:tcW w:w="7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26.9 %</w:t>
            </w:r>
          </w:p>
        </w:tc>
      </w:tr>
      <w:tr>
        <w:trPr>
          <w:trHeight w:val="20"/>
        </w:trPr>
        <w:tc>
          <w:tcPr>
            <w:tcW w:w="4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80" w:firstLine="324"/>
        <w:spacing w:after="0" w:line="286" w:lineRule="auto"/>
        <w:rPr>
          <w:sz w:val="20"/>
          <w:szCs w:val="20"/>
          <w:color w:val="auto"/>
        </w:rPr>
      </w:pPr>
      <w:r>
        <w:rPr>
          <w:rFonts w:ascii="Arial" w:cs="Arial" w:eastAsia="Arial" w:hAnsi="Arial"/>
          <w:sz w:val="17"/>
          <w:szCs w:val="17"/>
          <w:color w:val="auto"/>
        </w:rPr>
        <w:t xml:space="preserve">The decrease in interest expense, net during the three months ended September 30, 2023 was primarily attributable to an increase in interest income generated from our cash and cash equivalents, partially offset by increases in the First Lien Term Loan’s variable interest rate compared to three months ended September 30, 2022. See Note 10, </w:t>
      </w:r>
      <w:r>
        <w:rPr>
          <w:rFonts w:ascii="Arial" w:cs="Arial" w:eastAsia="Arial" w:hAnsi="Arial"/>
          <w:sz w:val="17"/>
          <w:szCs w:val="17"/>
          <w:i w:val="1"/>
          <w:iCs w:val="1"/>
          <w:color w:val="auto"/>
        </w:rPr>
        <w:t>Indebtedness</w:t>
      </w:r>
      <w:r>
        <w:rPr>
          <w:rFonts w:ascii="Arial" w:cs="Arial" w:eastAsia="Arial" w:hAnsi="Arial"/>
          <w:sz w:val="17"/>
          <w:szCs w:val="17"/>
          <w:color w:val="auto"/>
        </w:rPr>
        <w:t>, of the consolidated financial statements for further information.</w:t>
      </w:r>
    </w:p>
    <w:p>
      <w:pPr>
        <w:spacing w:after="0" w:line="1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decrease in Other, net during the three months ended September 30, 2023 as compared to the three months ended September 30, 2022 is primarily related to one-time non-operating income during the three months ended September 30, 2022. There was no comparable activity during the three months ended September 30, 2023.</w:t>
      </w:r>
    </w:p>
    <w:p>
      <w:pPr>
        <w:spacing w:after="0" w:line="3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Income Tax Expense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6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Variance</w:t>
            </w:r>
          </w:p>
        </w:tc>
        <w:tc>
          <w:tcPr>
            <w:tcW w:w="780" w:type="dxa"/>
            <w:vAlign w:val="bottom"/>
            <w:tcBorders>
              <w:top w:val="single" w:sz="8" w:color="auto"/>
              <w:bottom w:val="single" w:sz="8" w:color="auto"/>
            </w:tcBorders>
          </w:tcPr>
          <w:p>
            <w:pPr>
              <w:spacing w:after="0"/>
              <w:rPr>
                <w:sz w:val="18"/>
                <w:szCs w:val="18"/>
                <w:color w:val="auto"/>
              </w:rPr>
            </w:pPr>
          </w:p>
        </w:tc>
      </w:tr>
      <w:tr>
        <w:trPr>
          <w:trHeight w:val="250"/>
        </w:trPr>
        <w:tc>
          <w:tcPr>
            <w:tcW w:w="4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8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(in thousands, except for percentages)</w:t>
            </w:r>
          </w:p>
        </w:tc>
        <w:tc>
          <w:tcPr>
            <w:tcW w:w="11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525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r>
    </w:tbl>
    <w:p>
      <w:pPr>
        <w:spacing w:after="0" w:line="256"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Company recorded income tax expense of $13.8 million and $13.3 million for the three months ended September 30, 2023 and 2022, respectively. The tax expense for the three months ended September 30, 2023 and 2022 represents an effective tax rate of 19.7% and 25.5%, respectively. The variance in the Company’s effective tax rate of 19.7% for the three months ended September 30, 2023, compared to the federal statutory rate of 21%, is primarily attributable to the difference between federal and state tax rates, various non-deductible expenses, and a change in state valuation allowance. The variance in the Company’s effective tax rate of 25.5% for the three months ended September 30, 2022, compared to the federal statutory rate of 21%, is primarily attributable to current and deferred state taxes as well as various non-deductible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Net Income and Other Comprehensive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ind w:left="700"/>
              <w:spacing w:after="0"/>
              <w:rPr>
                <w:sz w:val="20"/>
                <w:szCs w:val="20"/>
                <w:color w:val="auto"/>
              </w:rPr>
            </w:pPr>
            <w:r>
              <w:rPr>
                <w:rFonts w:ascii="Arial" w:cs="Arial" w:eastAsia="Arial" w:hAnsi="Arial"/>
                <w:sz w:val="16"/>
                <w:szCs w:val="16"/>
                <w:b w:val="1"/>
                <w:bCs w:val="1"/>
                <w:color w:val="auto"/>
              </w:rPr>
              <w:t>Variance</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20" w:type="dxa"/>
            <w:vAlign w:val="bottom"/>
            <w:gridSpan w:val="6"/>
          </w:tcPr>
          <w:p>
            <w:pPr>
              <w:ind w:left="160"/>
              <w:spacing w:after="0"/>
              <w:rPr>
                <w:sz w:val="20"/>
                <w:szCs w:val="20"/>
                <w:color w:val="auto"/>
              </w:rPr>
            </w:pPr>
            <w:r>
              <w:rPr>
                <w:rFonts w:ascii="Arial" w:cs="Arial" w:eastAsia="Arial" w:hAnsi="Arial"/>
                <w:sz w:val="16"/>
                <w:szCs w:val="16"/>
                <w:b w:val="1"/>
                <w:bCs w:val="1"/>
                <w:color w:val="auto"/>
              </w:rPr>
              <w:t>(in thousands, except for percentages)</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56,302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38,823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17,479</w:t>
            </w: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45.0 %</w:t>
            </w:r>
          </w:p>
        </w:tc>
        <w:tc>
          <w:tcPr>
            <w:tcW w:w="0" w:type="dxa"/>
            <w:vAlign w:val="bottom"/>
          </w:tcPr>
          <w:p>
            <w:pPr>
              <w:spacing w:after="0"/>
              <w:rPr>
                <w:sz w:val="1"/>
                <w:szCs w:val="1"/>
                <w:color w:val="auto"/>
              </w:rPr>
            </w:pP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6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9"/>
              </w:rPr>
              <w:t>Changes in unrealized gain on cash flow hedges, net of income</w:t>
            </w:r>
          </w:p>
        </w:tc>
        <w:tc>
          <w:tcPr>
            <w:tcW w:w="1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9,255</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(9,202)</w:t>
            </w:r>
          </w:p>
        </w:tc>
        <w:tc>
          <w:tcPr>
            <w:tcW w:w="7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w:t>
            </w:r>
          </w:p>
        </w:tc>
        <w:tc>
          <w:tcPr>
            <w:tcW w:w="1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w:t>
            </w:r>
          </w:p>
        </w:tc>
        <w:tc>
          <w:tcPr>
            <w:tcW w:w="1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9,255</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(9,202)</w:t>
            </w:r>
          </w:p>
        </w:tc>
        <w:tc>
          <w:tcPr>
            <w:tcW w:w="7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comprehensive income</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56,355</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48,078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8,277</w:t>
            </w:r>
          </w:p>
        </w:tc>
        <w:tc>
          <w:tcPr>
            <w:tcW w:w="7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change in net income was attributable to organic growth from additional revenue related to the factors described in the above sections.</w:t>
      </w:r>
    </w:p>
    <w:p>
      <w:pPr>
        <w:spacing w:after="0" w:line="19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For the three months ended September 30, 2023 and 2022, the change in unrealized gain on cash flow hedges, net of income taxes was related to the change in fair market value of the $300.0 million interest rate cap hedge executed in October 2021.</w:t>
      </w:r>
    </w:p>
    <w:p>
      <w:pPr>
        <w:spacing w:after="0" w:line="13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Net comprehensive income increased to $56.4 million for the three months ended September 30, 2023, compared to net comprehensive income of</w:t>
      </w:r>
    </w:p>
    <w:p>
      <w:pPr>
        <w:spacing w:after="0" w:line="3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$48.1 million for the three months ended September 30, 2022, primarily as a result of the changes in net income discussed above and partially offset by the impact of the fair value of the interest rate cap hedge.</w:t>
      </w:r>
    </w:p>
    <w:p>
      <w:pPr>
        <w:spacing w:after="0" w:line="3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Nine Months Ended September 30, 2023 Compared to Nine Months Ended September 30, 2022</w:t>
      </w:r>
    </w:p>
    <w:p>
      <w:pPr>
        <w:spacing w:after="0" w:line="18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tables present selected consolidated comparative results of operations from Option Care Health’s unaudited condensed consolidated financial statements for the nine months ended September 30, 2023 and 2022.</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00" w:type="dxa"/>
            <w:vAlign w:val="bottom"/>
            <w:gridSpan w:val="5"/>
          </w:tcPr>
          <w:p>
            <w:pPr>
              <w:ind w:left="300"/>
              <w:spacing w:after="0"/>
              <w:rPr>
                <w:sz w:val="20"/>
                <w:szCs w:val="20"/>
                <w:color w:val="auto"/>
              </w:rPr>
            </w:pPr>
            <w:r>
              <w:rPr>
                <w:rFonts w:ascii="Arial" w:cs="Arial" w:eastAsia="Arial" w:hAnsi="Arial"/>
                <w:sz w:val="16"/>
                <w:szCs w:val="16"/>
                <w:b w:val="1"/>
                <w:bCs w:val="1"/>
                <w:color w:val="auto"/>
              </w:rPr>
              <w:t>Nine Months Ended September 30,</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gridSpan w:val="2"/>
          </w:tcPr>
          <w:p>
            <w:pPr>
              <w:ind w:left="720"/>
              <w:spacing w:after="0"/>
              <w:rPr>
                <w:sz w:val="20"/>
                <w:szCs w:val="20"/>
                <w:color w:val="auto"/>
              </w:rPr>
            </w:pPr>
            <w:r>
              <w:rPr>
                <w:rFonts w:ascii="Arial" w:cs="Arial" w:eastAsia="Arial" w:hAnsi="Arial"/>
                <w:sz w:val="16"/>
                <w:szCs w:val="16"/>
                <w:b w:val="1"/>
                <w:bCs w:val="1"/>
                <w:color w:val="auto"/>
              </w:rPr>
              <w:t>Variance</w:t>
            </w:r>
          </w:p>
        </w:tc>
        <w:tc>
          <w:tcPr>
            <w:tcW w:w="8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00" w:type="dxa"/>
            <w:vAlign w:val="bottom"/>
            <w:gridSpan w:val="5"/>
          </w:tcPr>
          <w:p>
            <w:pPr>
              <w:ind w:left="20"/>
              <w:spacing w:after="0"/>
              <w:rPr>
                <w:sz w:val="20"/>
                <w:szCs w:val="20"/>
                <w:color w:val="auto"/>
              </w:rPr>
            </w:pPr>
            <w:r>
              <w:rPr>
                <w:rFonts w:ascii="Arial" w:cs="Arial" w:eastAsia="Arial" w:hAnsi="Arial"/>
                <w:sz w:val="16"/>
                <w:szCs w:val="16"/>
                <w:b w:val="1"/>
                <w:bCs w:val="1"/>
                <w:color w:val="auto"/>
              </w:rPr>
              <w:t>(in thousands, except for percentages)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3,177,934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2,917,522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260,412</w:t>
            </w:r>
          </w:p>
        </w:tc>
        <w:tc>
          <w:tcPr>
            <w:tcW w:w="7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2,443,834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2,281,685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162,149</w:t>
            </w:r>
          </w:p>
        </w:tc>
        <w:tc>
          <w:tcPr>
            <w:tcW w:w="7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23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734,100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635,837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98,263</w:t>
            </w:r>
          </w:p>
        </w:tc>
        <w:tc>
          <w:tcPr>
            <w:tcW w:w="7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15.5 %</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profit margin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4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23.1 %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21.8 %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The increase in net revenue was primarily driven by organic growth in the Company’s portfolio of therapies, consisting of acute revenue that had mid-single-digit growth relative to the prior year while chronic revenue grew in the low-double-digits. The increase in net revenue was partially offset by the divestiture of respiratory therapy assets as well as therapies related to the treatment of ALS and pre-term labor. The increase in cost of revenue and gross profit was primarily driven by the growth in revenue, which outpaced the increase in cost of revenue primarily due to our disciplined procurement strategies, certain temporary favorable therapy pricing dynamics, and efficient utilization of our infusion suite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3680" w:type="dxa"/>
            <w:vAlign w:val="bottom"/>
            <w:gridSpan w:val="6"/>
          </w:tcPr>
          <w:p>
            <w:pPr>
              <w:ind w:left="580"/>
              <w:spacing w:after="0"/>
              <w:rPr>
                <w:sz w:val="20"/>
                <w:szCs w:val="20"/>
                <w:color w:val="auto"/>
              </w:rPr>
            </w:pPr>
            <w:r>
              <w:rPr>
                <w:rFonts w:ascii="Arial" w:cs="Arial" w:eastAsia="Arial" w:hAnsi="Arial"/>
                <w:sz w:val="16"/>
                <w:szCs w:val="16"/>
                <w:b w:val="1"/>
                <w:bCs w:val="1"/>
                <w:color w:val="auto"/>
              </w:rPr>
              <w:t>Nine Months Ended September 30,</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gridSpan w:val="2"/>
          </w:tcPr>
          <w:p>
            <w:pPr>
              <w:ind w:left="700"/>
              <w:spacing w:after="0"/>
              <w:rPr>
                <w:sz w:val="20"/>
                <w:szCs w:val="20"/>
                <w:color w:val="auto"/>
              </w:rPr>
            </w:pPr>
            <w:r>
              <w:rPr>
                <w:rFonts w:ascii="Arial" w:cs="Arial" w:eastAsia="Arial" w:hAnsi="Arial"/>
                <w:sz w:val="16"/>
                <w:szCs w:val="16"/>
                <w:b w:val="1"/>
                <w:bCs w:val="1"/>
                <w:color w:val="auto"/>
              </w:rPr>
              <w:t>Variance</w:t>
            </w:r>
          </w:p>
        </w:tc>
        <w:tc>
          <w:tcPr>
            <w:tcW w:w="820" w:type="dxa"/>
            <w:vAlign w:val="bottom"/>
            <w:tcBorders>
              <w:top w:val="single" w:sz="8" w:color="auto"/>
              <w:bottom w:val="single" w:sz="8" w:color="auto"/>
            </w:tcBorders>
          </w:tcPr>
          <w:p>
            <w:pPr>
              <w:spacing w:after="0"/>
              <w:rPr>
                <w:sz w:val="18"/>
                <w:szCs w:val="18"/>
                <w:color w:val="auto"/>
              </w:rPr>
            </w:pPr>
          </w:p>
        </w:tc>
      </w:tr>
      <w:tr>
        <w:trPr>
          <w:trHeight w:val="250"/>
        </w:trPr>
        <w:tc>
          <w:tcPr>
            <w:tcW w:w="4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20" w:type="dxa"/>
            <w:vAlign w:val="bottom"/>
            <w:gridSpan w:val="5"/>
          </w:tcPr>
          <w:p>
            <w:pPr>
              <w:ind w:left="20"/>
              <w:spacing w:after="0"/>
              <w:rPr>
                <w:sz w:val="20"/>
                <w:szCs w:val="20"/>
                <w:color w:val="auto"/>
              </w:rPr>
            </w:pPr>
            <w:r>
              <w:rPr>
                <w:rFonts w:ascii="Arial" w:cs="Arial" w:eastAsia="Arial" w:hAnsi="Arial"/>
                <w:sz w:val="16"/>
                <w:szCs w:val="16"/>
                <w:b w:val="1"/>
                <w:bCs w:val="1"/>
                <w:color w:val="auto"/>
              </w:rPr>
              <w:t>(in thousands, except for percentages)</w:t>
            </w:r>
          </w:p>
        </w:tc>
        <w:tc>
          <w:tcPr>
            <w:tcW w:w="820" w:type="dxa"/>
            <w:vAlign w:val="bottom"/>
          </w:tcPr>
          <w:p>
            <w:pPr>
              <w:spacing w:after="0"/>
              <w:rPr>
                <w:sz w:val="21"/>
                <w:szCs w:val="21"/>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459,644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417,771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8"/>
              </w:rPr>
              <w:t>41,873</w:t>
            </w:r>
          </w:p>
        </w:tc>
        <w:tc>
          <w:tcPr>
            <w:tcW w:w="7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1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46,027</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w w:val="94"/>
              </w:rPr>
              <w:t>(1,610)</w:t>
            </w:r>
          </w:p>
        </w:tc>
        <w:tc>
          <w:tcPr>
            <w:tcW w:w="7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(3.5)%</w:t>
            </w:r>
          </w:p>
        </w:tc>
      </w:tr>
      <w:tr>
        <w:trPr>
          <w:trHeight w:val="238"/>
        </w:trPr>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operating expenses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504,061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463,798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w w:val="98"/>
              </w:rPr>
              <w:t>40,263</w:t>
            </w:r>
          </w:p>
        </w:tc>
        <w:tc>
          <w:tcPr>
            <w:tcW w:w="7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8.7 %</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jc w:val="both"/>
        <w:ind w:right="80" w:firstLine="324"/>
        <w:spacing w:after="0" w:line="311" w:lineRule="auto"/>
        <w:rPr>
          <w:sz w:val="20"/>
          <w:szCs w:val="20"/>
          <w:color w:val="auto"/>
        </w:rPr>
      </w:pPr>
      <w:r>
        <w:rPr>
          <w:rFonts w:ascii="Arial" w:cs="Arial" w:eastAsia="Arial" w:hAnsi="Arial"/>
          <w:sz w:val="16"/>
          <w:szCs w:val="16"/>
          <w:color w:val="auto"/>
        </w:rPr>
        <w:t>The increase in selling, general and administrative expenses is primarily due to an increase in salaries, benefits, and equity compensation as a result of expansion of team members to adjust to current volumes, however, these expenses have remained relatively consistent as a percentage of revenue at 14.5% and 14.3% for the nine months ended September 30, 2023 and 2022, respectively, due to the Company’s focus on controlling spending leverage.</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600" w:type="dxa"/>
            <w:vAlign w:val="bottom"/>
          </w:tcPr>
          <w:p>
            <w:pPr>
              <w:spacing w:after="0"/>
              <w:rPr>
                <w:sz w:val="18"/>
                <w:szCs w:val="18"/>
                <w:color w:val="auto"/>
              </w:rPr>
            </w:pPr>
          </w:p>
        </w:tc>
        <w:tc>
          <w:tcPr>
            <w:tcW w:w="3660" w:type="dxa"/>
            <w:vAlign w:val="bottom"/>
            <w:gridSpan w:val="6"/>
          </w:tcPr>
          <w:p>
            <w:pPr>
              <w:ind w:left="580"/>
              <w:spacing w:after="0"/>
              <w:rPr>
                <w:sz w:val="20"/>
                <w:szCs w:val="20"/>
                <w:color w:val="auto"/>
              </w:rPr>
            </w:pPr>
            <w:r>
              <w:rPr>
                <w:rFonts w:ascii="Arial" w:cs="Arial" w:eastAsia="Arial" w:hAnsi="Arial"/>
                <w:sz w:val="16"/>
                <w:szCs w:val="16"/>
                <w:b w:val="1"/>
                <w:bCs w:val="1"/>
                <w:color w:val="auto"/>
              </w:rPr>
              <w:t>Nine Months Ended September 30,</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46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gridSpan w:val="2"/>
          </w:tcPr>
          <w:p>
            <w:pPr>
              <w:ind w:left="680"/>
              <w:spacing w:after="0"/>
              <w:rPr>
                <w:sz w:val="20"/>
                <w:szCs w:val="20"/>
                <w:color w:val="auto"/>
              </w:rPr>
            </w:pPr>
            <w:r>
              <w:rPr>
                <w:rFonts w:ascii="Arial" w:cs="Arial" w:eastAsia="Arial" w:hAnsi="Arial"/>
                <w:sz w:val="16"/>
                <w:szCs w:val="16"/>
                <w:b w:val="1"/>
                <w:bCs w:val="1"/>
                <w:color w:val="auto"/>
              </w:rPr>
              <w:t>Variance</w:t>
            </w:r>
          </w:p>
        </w:tc>
        <w:tc>
          <w:tcPr>
            <w:tcW w:w="920" w:type="dxa"/>
            <w:vAlign w:val="bottom"/>
            <w:tcBorders>
              <w:top w:val="single" w:sz="8" w:color="auto"/>
              <w:bottom w:val="single" w:sz="8" w:color="auto"/>
            </w:tcBorders>
          </w:tcPr>
          <w:p>
            <w:pPr>
              <w:spacing w:after="0"/>
              <w:rPr>
                <w:sz w:val="18"/>
                <w:szCs w:val="18"/>
                <w:color w:val="auto"/>
              </w:rPr>
            </w:pPr>
          </w:p>
        </w:tc>
      </w:tr>
      <w:tr>
        <w:trPr>
          <w:trHeight w:val="250"/>
        </w:trPr>
        <w:tc>
          <w:tcPr>
            <w:tcW w:w="46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00" w:type="dxa"/>
            <w:vAlign w:val="bottom"/>
            <w:gridSpan w:val="5"/>
          </w:tcPr>
          <w:p>
            <w:pPr>
              <w:jc w:val="center"/>
              <w:ind w:right="1040"/>
              <w:spacing w:after="0"/>
              <w:rPr>
                <w:sz w:val="20"/>
                <w:szCs w:val="20"/>
                <w:color w:val="auto"/>
              </w:rPr>
            </w:pPr>
            <w:r>
              <w:rPr>
                <w:rFonts w:ascii="Arial" w:cs="Arial" w:eastAsia="Arial" w:hAnsi="Arial"/>
                <w:sz w:val="16"/>
                <w:szCs w:val="16"/>
                <w:b w:val="1"/>
                <w:bCs w:val="1"/>
                <w:color w:val="auto"/>
                <w:w w:val="89"/>
              </w:rPr>
              <w:t>(in thousands, except for percentages)</w:t>
            </w:r>
          </w:p>
        </w:tc>
        <w:tc>
          <w:tcPr>
            <w:tcW w:w="920" w:type="dxa"/>
            <w:vAlign w:val="bottom"/>
          </w:tcPr>
          <w:p>
            <w:pPr>
              <w:spacing w:after="0"/>
              <w:rPr>
                <w:sz w:val="21"/>
                <w:szCs w:val="2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(38,816)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Equity in earnings of joint ventures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ind w:left="979"/>
              <w:spacing w:after="0"/>
              <w:rPr>
                <w:sz w:val="20"/>
                <w:szCs w:val="20"/>
                <w:color w:val="auto"/>
              </w:rPr>
            </w:pPr>
            <w:r>
              <w:rPr>
                <w:rFonts w:ascii="Arial" w:cs="Arial" w:eastAsia="Arial" w:hAnsi="Arial"/>
                <w:sz w:val="16"/>
                <w:szCs w:val="16"/>
                <w:color w:val="auto"/>
                <w:w w:val="89"/>
              </w:rPr>
              <w:t>4,065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c>
          <w:tcPr>
            <w:tcW w:w="6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84,487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center"/>
              <w:ind w:left="979"/>
              <w:spacing w:after="0"/>
              <w:rPr>
                <w:sz w:val="20"/>
                <w:szCs w:val="20"/>
                <w:color w:val="auto"/>
              </w:rPr>
            </w:pPr>
            <w:r>
              <w:rPr>
                <w:rFonts w:ascii="Arial" w:cs="Arial" w:eastAsia="Arial" w:hAnsi="Arial"/>
                <w:sz w:val="16"/>
                <w:szCs w:val="16"/>
                <w:color w:val="auto"/>
                <w:w w:val="89"/>
              </w:rPr>
              <w:t>3,891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80,596</w:t>
            </w: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2,071.3 %</w:t>
            </w:r>
          </w:p>
        </w:tc>
      </w:tr>
      <w:tr>
        <w:trPr>
          <w:trHeight w:val="213"/>
        </w:trPr>
        <w:tc>
          <w:tcPr>
            <w:tcW w:w="4600" w:type="dxa"/>
            <w:vAlign w:val="bottom"/>
          </w:tcPr>
          <w:p>
            <w:pPr>
              <w:ind w:left="140"/>
              <w:spacing w:after="0"/>
              <w:rPr>
                <w:sz w:val="20"/>
                <w:szCs w:val="20"/>
                <w:color w:val="auto"/>
              </w:rPr>
            </w:pPr>
            <w:r>
              <w:rPr>
                <w:rFonts w:ascii="Arial" w:cs="Arial" w:eastAsia="Arial" w:hAnsi="Arial"/>
                <w:sz w:val="16"/>
                <w:szCs w:val="16"/>
                <w:color w:val="auto"/>
              </w:rPr>
              <w:t>Total other income (expense)</w:t>
            </w: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49,778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(31,052)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80,830</w:t>
            </w:r>
          </w:p>
        </w:tc>
        <w:tc>
          <w:tcPr>
            <w:tcW w:w="6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(260.3)%</w:t>
            </w:r>
          </w:p>
        </w:tc>
      </w:tr>
      <w:tr>
        <w:trPr>
          <w:trHeight w:val="20"/>
        </w:trPr>
        <w:tc>
          <w:tcPr>
            <w:tcW w:w="4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320" w:firstLine="324"/>
        <w:spacing w:after="0" w:line="263" w:lineRule="auto"/>
        <w:rPr>
          <w:sz w:val="20"/>
          <w:szCs w:val="20"/>
          <w:color w:val="auto"/>
        </w:rPr>
      </w:pPr>
      <w:r>
        <w:rPr>
          <w:rFonts w:ascii="Arial" w:cs="Arial" w:eastAsia="Arial" w:hAnsi="Arial"/>
          <w:sz w:val="18"/>
          <w:szCs w:val="18"/>
          <w:color w:val="auto"/>
        </w:rPr>
        <w:t xml:space="preserve">The increase in Other, net during the nine months ended September 30, 2023 is due to the $106.0 million payment received on behalf of Amedisys, under the terms of the Mutual Termination Agreement, net of merger-related expenses. There was no comparable activity during the nine months ended September 30, 2022. See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further discussion.</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Income Tax Expense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40" w:type="dxa"/>
            <w:vAlign w:val="bottom"/>
            <w:gridSpan w:val="5"/>
          </w:tcPr>
          <w:p>
            <w:pPr>
              <w:ind w:left="240"/>
              <w:spacing w:after="0"/>
              <w:rPr>
                <w:sz w:val="20"/>
                <w:szCs w:val="20"/>
                <w:color w:val="auto"/>
              </w:rPr>
            </w:pPr>
            <w:r>
              <w:rPr>
                <w:rFonts w:ascii="Arial" w:cs="Arial" w:eastAsia="Arial" w:hAnsi="Arial"/>
                <w:sz w:val="16"/>
                <w:szCs w:val="16"/>
                <w:b w:val="1"/>
                <w:bCs w:val="1"/>
                <w:color w:val="auto"/>
              </w:rPr>
              <w:t>Nine Months Ended September 30,</w:t>
            </w:r>
          </w:p>
        </w:tc>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Variance</w:t>
            </w:r>
          </w:p>
        </w:tc>
        <w:tc>
          <w:tcPr>
            <w:tcW w:w="820" w:type="dxa"/>
            <w:vAlign w:val="bottom"/>
            <w:tcBorders>
              <w:top w:val="single" w:sz="8" w:color="auto"/>
              <w:bottom w:val="single" w:sz="8" w:color="auto"/>
            </w:tcBorders>
          </w:tcPr>
          <w:p>
            <w:pPr>
              <w:spacing w:after="0"/>
              <w:rPr>
                <w:sz w:val="18"/>
                <w:szCs w:val="18"/>
                <w:color w:val="auto"/>
              </w:rPr>
            </w:pPr>
          </w:p>
        </w:tc>
      </w:tr>
      <w:tr>
        <w:trPr>
          <w:trHeight w:val="250"/>
        </w:trPr>
        <w:tc>
          <w:tcPr>
            <w:tcW w:w="4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20" w:type="dxa"/>
            <w:vAlign w:val="bottom"/>
            <w:gridSpan w:val="4"/>
          </w:tcPr>
          <w:p>
            <w:pPr>
              <w:jc w:val="right"/>
              <w:ind w:right="1099"/>
              <w:spacing w:after="0"/>
              <w:rPr>
                <w:sz w:val="20"/>
                <w:szCs w:val="20"/>
                <w:color w:val="auto"/>
              </w:rPr>
            </w:pPr>
            <w:r>
              <w:rPr>
                <w:rFonts w:ascii="Arial" w:cs="Arial" w:eastAsia="Arial" w:hAnsi="Arial"/>
                <w:sz w:val="16"/>
                <w:szCs w:val="16"/>
                <w:b w:val="1"/>
                <w:bCs w:val="1"/>
                <w:color w:val="auto"/>
                <w:w w:val="89"/>
              </w:rPr>
              <w:t>(in thousands, except for percentages)</w:t>
            </w:r>
          </w:p>
        </w:tc>
        <w:tc>
          <w:tcPr>
            <w:tcW w:w="820" w:type="dxa"/>
            <w:vAlign w:val="bottom"/>
          </w:tcPr>
          <w:p>
            <w:pPr>
              <w:spacing w:after="0"/>
              <w:rPr>
                <w:sz w:val="21"/>
                <w:szCs w:val="21"/>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37,960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31,944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84.2 %</w:t>
            </w:r>
          </w:p>
        </w:tc>
      </w:tr>
    </w:tbl>
    <w:p>
      <w:pPr>
        <w:spacing w:after="0" w:line="256"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Company recorded income tax expense of $69.9 million and $38.0 million for the nine months ended September 30, 2023 and 2022, respectively. The income tax expense for the nine months ended September 30, 2023 includes $22.1 million of tax expense related to the Termination Fee payment received on behalf of Amedisys, under the terms of the Mutual Termination Agreement, net of merger-related expenses. The tax expense for the nine months ended September 30, 2023 and 2022 represents an effective tax rate of 25.0% and 26.9%, respectively. The variance in the Company’s effective tax rate of 25.0% for the nine months ended September 30, 2023, compared to the federal statutory rate of 21%, is primarily attributable to the difference between federal and state tax rates, various non-deductible expenses, and a change in state valuation allowance. The variance in the Company’s effective tax rate of 26.9% for the nine months ended September 30, 2022, compared to the federal statutory rate of 21%, is primarily attributable to current and deferred state taxes as well as various non-deductible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Net Income and Other Comprehensive (Loss)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3680" w:type="dxa"/>
            <w:vAlign w:val="bottom"/>
            <w:gridSpan w:val="6"/>
          </w:tcPr>
          <w:p>
            <w:pPr>
              <w:ind w:left="580"/>
              <w:spacing w:after="0"/>
              <w:rPr>
                <w:sz w:val="20"/>
                <w:szCs w:val="20"/>
                <w:color w:val="auto"/>
              </w:rPr>
            </w:pPr>
            <w:r>
              <w:rPr>
                <w:rFonts w:ascii="Arial" w:cs="Arial" w:eastAsia="Arial" w:hAnsi="Arial"/>
                <w:sz w:val="16"/>
                <w:szCs w:val="16"/>
                <w:b w:val="1"/>
                <w:bCs w:val="1"/>
                <w:color w:val="auto"/>
              </w:rPr>
              <w:t>Nine Months Ended September 30,</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2"/>
          </w:tcPr>
          <w:p>
            <w:pPr>
              <w:ind w:left="740"/>
              <w:spacing w:after="0"/>
              <w:rPr>
                <w:sz w:val="20"/>
                <w:szCs w:val="20"/>
                <w:color w:val="auto"/>
              </w:rPr>
            </w:pPr>
            <w:r>
              <w:rPr>
                <w:rFonts w:ascii="Arial" w:cs="Arial" w:eastAsia="Arial" w:hAnsi="Arial"/>
                <w:sz w:val="16"/>
                <w:szCs w:val="16"/>
                <w:b w:val="1"/>
                <w:bCs w:val="1"/>
                <w:color w:val="auto"/>
              </w:rPr>
              <w:t>Variance</w:t>
            </w:r>
          </w:p>
        </w:tc>
        <w:tc>
          <w:tcPr>
            <w:tcW w:w="9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40" w:type="dxa"/>
            <w:vAlign w:val="bottom"/>
            <w:gridSpan w:val="5"/>
          </w:tcPr>
          <w:p>
            <w:pPr>
              <w:ind w:left="20"/>
              <w:spacing w:after="0"/>
              <w:rPr>
                <w:sz w:val="20"/>
                <w:szCs w:val="20"/>
                <w:color w:val="auto"/>
              </w:rPr>
            </w:pPr>
            <w:r>
              <w:rPr>
                <w:rFonts w:ascii="Arial" w:cs="Arial" w:eastAsia="Arial" w:hAnsi="Arial"/>
                <w:sz w:val="16"/>
                <w:szCs w:val="16"/>
                <w:b w:val="1"/>
                <w:bCs w:val="1"/>
                <w:color w:val="auto"/>
              </w:rPr>
              <w:t>(in thousands, except for percentages)</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209,913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103,027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106,886</w:t>
            </w: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103.7 %</w:t>
            </w:r>
          </w:p>
        </w:tc>
        <w:tc>
          <w:tcPr>
            <w:tcW w:w="0" w:type="dxa"/>
            <w:vAlign w:val="bottom"/>
          </w:tcPr>
          <w:p>
            <w:pPr>
              <w:spacing w:after="0"/>
              <w:rPr>
                <w:sz w:val="1"/>
                <w:szCs w:val="1"/>
                <w:color w:val="auto"/>
              </w:rPr>
            </w:pP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Other comprehensive (loss) income, net of tax:</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6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Changes in unrealized (loss) gain on cash flow hedges, net of</w:t>
            </w:r>
          </w:p>
        </w:tc>
        <w:tc>
          <w:tcPr>
            <w:tcW w:w="10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24,962</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(25,061)</w:t>
            </w:r>
          </w:p>
        </w:tc>
        <w:tc>
          <w:tcPr>
            <w:tcW w:w="7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w:t>
            </w:r>
          </w:p>
        </w:tc>
        <w:tc>
          <w:tcPr>
            <w:tcW w:w="10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(loss) income</w:t>
            </w:r>
          </w:p>
        </w:tc>
        <w:tc>
          <w:tcPr>
            <w:tcW w:w="10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24,962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(25,061)</w:t>
            </w:r>
          </w:p>
        </w:tc>
        <w:tc>
          <w:tcPr>
            <w:tcW w:w="7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(100.4)%</w:t>
            </w: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comprehensive income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209,814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127,989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81,825</w:t>
            </w:r>
          </w:p>
        </w:tc>
        <w:tc>
          <w:tcPr>
            <w:tcW w:w="7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63.9 %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80" w:firstLine="324"/>
        <w:spacing w:after="0" w:line="311" w:lineRule="auto"/>
        <w:rPr>
          <w:sz w:val="20"/>
          <w:szCs w:val="20"/>
          <w:color w:val="auto"/>
        </w:rPr>
      </w:pPr>
      <w:r>
        <w:rPr>
          <w:rFonts w:ascii="Arial" w:cs="Arial" w:eastAsia="Arial" w:hAnsi="Arial"/>
          <w:sz w:val="16"/>
          <w:szCs w:val="16"/>
          <w:color w:val="auto"/>
        </w:rPr>
        <w:t>The change in net income was attributable to organic growth from additional revenue related to the factors described in the above sections. Additionally, the change in net income was attributable to the $106.0 million payment received on behalf of Amedisys, under the terms of the Mutual Termination Agreement, net of merger-related expenses. There was no comparable activity during the nine months ended September 30, 2022.</w:t>
      </w:r>
    </w:p>
    <w:p>
      <w:pPr>
        <w:spacing w:after="0" w:line="108"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For the nine months ended September 30, 2023, the change in unrealized (loss) gain on cash flow hedges, net of income taxes was related to the change in fair market value of the $300.0 million interest rate cap hedge executed in October 2021.</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Net comprehensive income increased to $209.8 million for the nine months ended September 30, 2023, compared to net comprehensive income of</w:t>
      </w:r>
    </w:p>
    <w:p>
      <w:pPr>
        <w:spacing w:after="0" w:line="3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$128.0 million for the nine months ended September 30, 2022, primarily as a result of the changes in net income discussed above and partially offset by the impact of the fair value of the interest rate cap hedge.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For the nine months ended September 30, 2023 and the twelve months ended December 31, 2022, the Company’s primary sources of liquidity were cash and cash equivalents of $386.5 million and $294.2 million, respectively. As of September 30, 2023, the Company had $219.7 million of borrowings available under its credit facilities (net of $5.3 million undrawn letters of credit issued and outstanding). As of December 31, 2022, the Company had $168.3 million of borrowings available under its credit facilities (net of $6.7 million undrawn letters of credit issued and outstanding). During the nine months ended September 30, 2023 and the twelve months ended December 31, 2022, the Company’s positive cash flows from operations enabled investments in pharmacy and information technology infrastructure to support growth and create additional capacity in the future, as well as to pursue acquisitions and share repurchases.</w:t>
      </w:r>
    </w:p>
    <w:p>
      <w:pPr>
        <w:spacing w:after="0" w:line="154"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The Company’s primary uses of cash and cash equivalents include supporting our ongoing business activities, investment in capital expenditures in both facilities and technology, the pursuit of acquisitions, and share repurchases. Ongoing operating cash outflows are associated with procuring and dispensing drugs, personnel and other costs associated with servicing patients, as well as paying cash interest on outstanding debt and cash taxes. Ongoing investing cash flows are primarily associated with capital projects related to business acquisitions, the improvement and maintenance of our pharmacy facilities and investment in our information technology systems. Ongoing financing cash flows are primarily associated with the quarterly principal payments on our outstanding debt, along with potential future share repurchases.</w:t>
      </w:r>
    </w:p>
    <w:p>
      <w:pPr>
        <w:spacing w:after="0" w:line="15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business strategy includes the deployment of capital to pursue acquisitions that complement our existing operations. We continue to evaluate acquisition opportunities and view acquisitions as a key part of our growth strategy. The Company historically has funded its acquisitions with cash and cash equivalents with the exception of the Merger.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and Long-Term Liquidity Requirements</w:t>
      </w:r>
    </w:p>
    <w:p>
      <w:pPr>
        <w:spacing w:after="0" w:line="19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Company’s ability to make principal and interest payments on any borrowings under our credit facilities and our ability to fund planned capital expenditures will depend on our ability to generate cash and cash equivalents in the future, which to a certain extent, is subject to general economic, financial, competitive, regulatory and other conditions. Based on our current level of operations and planned capital expenditures, we believe that our existing cash and cash equivalents balances and expected cash flows generated from operations will be sufficient to meet our operating requirements over the next 12 months and beyond. We may require additional borrowings under our credit facilities and alternative forms of financings or investments to achieve our longer-term strategic plans.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8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Effective January 13, 2023, the Company entered into an agreement to amend the ABL Facility, to among other things, increase the amount of borrowing availability by $50.0 million to $225.0 million total borrowing availability and to replace LIBOR with SOFR as the new reference rate. The ABL Facility provides for borrowings up to $225.0 million and matures on October 27, 2026. The ABL Facility bears interest at a rate equal to, at the Company’s election, either (i) a base rate determined in accordance with the ABL Credit Agreement plus an applicable margin, which is equal to between 0.25% and 0.75% based on the historical excess availability as a percentage of the Line Cap (as such term is defined in the ABL Credit Agreement) and (ii) SOFR (or a comparable successor rate, with a floor of 0.00% per annum) plus an applicable margin, which is equal to between 1.25% and 1.75% based on the historical excess availability as a percentage of the Line Cap. The Company had $5.3 million of undrawn letters of credit issued and outstanding, resulting in net borrowing availability under the ABL Facility of $219.7 million as of September 30, 2023.</w:t>
      </w:r>
    </w:p>
    <w:p>
      <w:pPr>
        <w:spacing w:after="0" w:line="151"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Effective June 30, 2023, the Company entered into an agreement, dated as of June 8, 2023, to amend the First Lien Term Loan to replace LIBOR and related definitions and provisions with SOFR as the new reference rate. The principal balance of the First Lien Term Loan is repayable in quarterly installments of $1.5 million plus interest, with a final payment of all remaining outstanding principal due on October 27, 2028. The quarterly principal payments commenced in March 2022. Under the First Lien Credit Agreement Amendment, interest on the First Lien Term Loan is payable monthly on either (i) SOFR (with a floor of 0.50% per annum) plus an applicable margin of 2.75% for Term SOFR Loans (as such term is defined in the First Lien Credit Agreement Amendment); or (ii) a base rate determined in accordance with the First Lien Credit Agreement Amendment, plus 1.75% for Base Rate Loans (as such term is defined in the First Lien Credit Agreement Amendment).</w:t>
      </w:r>
    </w:p>
    <w:p>
      <w:pPr>
        <w:spacing w:after="0" w:line="13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Senior Notes bear interest at a rate of 4.375% per annum and are payable semi-annually in arrears on October 31 and April 30 of each year, which began on April 30, 2022. The Senior Notes mature on October 31, 2029.</w:t>
      </w:r>
    </w:p>
    <w:p>
      <w:pPr>
        <w:spacing w:after="0" w:line="13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Interest payments over the course of long-term debt obligations total an estimated $377.4 million based on final maturity dates of the Company’s credit facilities. Interest payments are calculated based on current rates as of September 30, 2023. Actual payments are based on changes in SOFR and exclude the interest rate cap derivative instrument.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Nine Months Ended September 30, 2023 Compared to Nine Months Ended September 30, 2022</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selected data from Option Care Health’s unaudited condensed consolidated statements of cash flows: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40" w:type="dxa"/>
            <w:vAlign w:val="bottom"/>
          </w:tcPr>
          <w:p>
            <w:pPr>
              <w:spacing w:after="0"/>
              <w:rPr>
                <w:sz w:val="18"/>
                <w:szCs w:val="18"/>
                <w:color w:val="auto"/>
              </w:rPr>
            </w:pPr>
          </w:p>
        </w:tc>
        <w:tc>
          <w:tcPr>
            <w:tcW w:w="3740" w:type="dxa"/>
            <w:vAlign w:val="bottom"/>
            <w:gridSpan w:val="6"/>
          </w:tcPr>
          <w:p>
            <w:pPr>
              <w:ind w:left="600"/>
              <w:spacing w:after="0"/>
              <w:rPr>
                <w:sz w:val="20"/>
                <w:szCs w:val="20"/>
                <w:color w:val="auto"/>
              </w:rPr>
            </w:pPr>
            <w:r>
              <w:rPr>
                <w:rFonts w:ascii="Arial" w:cs="Arial" w:eastAsia="Arial" w:hAnsi="Arial"/>
                <w:sz w:val="16"/>
                <w:szCs w:val="16"/>
                <w:b w:val="1"/>
                <w:bCs w:val="1"/>
                <w:color w:val="auto"/>
              </w:rPr>
              <w:t>Nine Months Ended September 30,</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57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Variance</w:t>
            </w:r>
          </w:p>
        </w:tc>
      </w:tr>
      <w:tr>
        <w:trPr>
          <w:trHeight w:val="250"/>
        </w:trPr>
        <w:tc>
          <w:tcPr>
            <w:tcW w:w="5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320,326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96,234</w:t>
            </w: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(40,725)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(104,426)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63,701</w:t>
            </w:r>
          </w:p>
        </w:tc>
      </w:tr>
      <w:tr>
        <w:trPr>
          <w:trHeight w:val="21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(187,298)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16,379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(203,677)</w:t>
            </w:r>
          </w:p>
        </w:tc>
      </w:tr>
      <w:tr>
        <w:trPr>
          <w:trHeight w:val="207"/>
        </w:trPr>
        <w:tc>
          <w:tcPr>
            <w:tcW w:w="574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0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92,303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136,045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(43,742)</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 beginning of period</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294,186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119,423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174,763</w:t>
            </w: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386,489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255,468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131,021</w:t>
            </w:r>
          </w:p>
        </w:tc>
      </w:tr>
      <w:tr>
        <w:trPr>
          <w:trHeight w:val="20"/>
        </w:trPr>
        <w:tc>
          <w:tcPr>
            <w:tcW w:w="5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98"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increase in cash provided by operating activities is primarily due to higher net income, the Termination Fee received on behalf of Amedisys, under the terms of the Mutual Termination Agreement, net of merger-related expenses and taxes, changes in accrued compensation and employee benefits, and changes in inventory, partially offset by cash paid for taxes, prepaid expenses, other current assets, certain accruals and timing of vendor payments during the nine months ended September 30, 2023 as compared to the nine months ended September 30, 2022.</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8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decrease in cash used in investing activities during the nine months ended September 30, 2023 is primarily due a decrease in acquisition activity as compared to the nine months ended September 30, 2022.</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8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cash used in financing activities is primarily related to the Company’s repurchase of common stock during the nine months ended September 30, 2023, whereas the nine months ended September 30, 2022 activity primarily related to the proceeds of warrant exercises.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The Company prepares its unaudited condensed consolidated financial statements in accordance with GAAP, which requires the Company to make estimates and assumptions. The Company evaluates its estimates and assumptions on an ongoing basis. Estimates and assumptions are based on historical experience and on various other factors that are believed to be reasonable under the circumstances, the results of which form the basis for making assumptions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spacing w:after="0" w:line="12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There have been no material changes to the Company’s critical accounting policies and estimates as presented in our Form 10-K, which are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have been no material changes to our exposure to market risk from those included in our Form 10-K, which is hereby incorporated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Company maintains disclosure controls and procedures (as such term is defined under Rule 13a-15(e) promulgated under the Exchange Act) that are designed to ensure that information required to be disclosed by the Company in the reports we file or submit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Under the supervision and with the participation of the Company’s management, including its Chief Executive Officer and Chief Financial Officer, management evaluated the effectiveness of the Company’s disclosure controls and procedures as of September 30, 2023. Based on that evaluation, the Company’s Chief Executive Officer and its Chief Financial Officer concluded that our disclosure controls and procedures were effective as of September 30, 2023.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8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September 30, 2023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120" w:firstLine="328"/>
        <w:spacing w:after="0" w:line="277" w:lineRule="auto"/>
        <w:rPr>
          <w:sz w:val="20"/>
          <w:szCs w:val="20"/>
          <w:color w:val="auto"/>
        </w:rPr>
      </w:pPr>
      <w:r>
        <w:rPr>
          <w:rFonts w:ascii="Arial" w:cs="Arial" w:eastAsia="Arial" w:hAnsi="Arial"/>
          <w:sz w:val="18"/>
          <w:szCs w:val="18"/>
          <w:color w:val="auto"/>
        </w:rPr>
        <w:t xml:space="preserve">For a summary of legal proceedings, refer to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the unaudited condensed consolidated financial statements included in Item 1 of this Form 10-Q.</w:t>
      </w:r>
    </w:p>
    <w:p>
      <w:pPr>
        <w:spacing w:after="0" w:line="12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There have been no material changes to the risk factors affecting our business, financial condition or results of operations from those set forth in Part I, Item 1A. “Risk Factors” in our Form 10-K. Additional risks and uncertainties not currently known to us or that we currently deem to be immaterial may also materially adversely affect our business, financial condition and/or operating results.</w:t>
      </w:r>
    </w:p>
    <w:p>
      <w:pPr>
        <w:spacing w:after="0" w:line="1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0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February 20, 2023, the Company’s Board of Directors approved a share repurchase program of up to an aggregate $250.0 million of common stock of the Company. This program has no specified expiration date.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certain information with respect to the Company’s repurchases of common stock from July 1, 2023 through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6"/>
                <w:szCs w:val="16"/>
                <w:color w:val="auto"/>
              </w:rPr>
            </w:pPr>
          </w:p>
        </w:tc>
        <w:tc>
          <w:tcPr>
            <w:tcW w:w="166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Approximate Dollar</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0"/>
              </w:rPr>
              <w:t>Value of Shares That</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9"/>
              </w:rPr>
              <w:t>Total Number of Shares</w:t>
            </w:r>
          </w:p>
        </w:tc>
        <w:tc>
          <w:tcPr>
            <w:tcW w:w="18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Average Price Paid per</w:t>
            </w:r>
          </w:p>
        </w:tc>
        <w:tc>
          <w:tcPr>
            <w:tcW w:w="18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Purchased as Part of</w:t>
            </w:r>
          </w:p>
        </w:tc>
        <w:tc>
          <w:tcPr>
            <w:tcW w:w="100" w:type="dxa"/>
            <w:vAlign w:val="bottom"/>
          </w:tcPr>
          <w:p>
            <w:pPr>
              <w:spacing w:after="0"/>
              <w:rPr>
                <w:sz w:val="14"/>
                <w:szCs w:val="14"/>
                <w:color w:val="auto"/>
              </w:rPr>
            </w:pPr>
          </w:p>
        </w:tc>
        <w:tc>
          <w:tcPr>
            <w:tcW w:w="166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0"/>
              </w:rPr>
              <w:t>May Yet Be Purchased</w:t>
            </w:r>
          </w:p>
        </w:tc>
        <w:tc>
          <w:tcPr>
            <w:tcW w:w="0" w:type="dxa"/>
            <w:vAlign w:val="bottom"/>
          </w:tcPr>
          <w:p>
            <w:pPr>
              <w:spacing w:after="0"/>
              <w:rPr>
                <w:sz w:val="1"/>
                <w:szCs w:val="1"/>
                <w:color w:val="auto"/>
              </w:rPr>
            </w:pPr>
          </w:p>
        </w:tc>
      </w:tr>
      <w:tr>
        <w:trPr>
          <w:trHeight w:val="162"/>
        </w:trPr>
        <w:tc>
          <w:tcPr>
            <w:tcW w:w="3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00" w:type="dxa"/>
            <w:vAlign w:val="bottom"/>
            <w:vMerge w:val="restart"/>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8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0"/>
              </w:rPr>
              <w:t>Publicly Announced</w:t>
            </w:r>
          </w:p>
        </w:tc>
        <w:tc>
          <w:tcPr>
            <w:tcW w:w="100" w:type="dxa"/>
            <w:vAlign w:val="bottom"/>
          </w:tcPr>
          <w:p>
            <w:pPr>
              <w:spacing w:after="0"/>
              <w:rPr>
                <w:sz w:val="14"/>
                <w:szCs w:val="14"/>
                <w:color w:val="auto"/>
              </w:rPr>
            </w:pPr>
          </w:p>
        </w:tc>
        <w:tc>
          <w:tcPr>
            <w:tcW w:w="166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2"/>
              </w:rPr>
              <w:t>Under the Plans or</w:t>
            </w:r>
          </w:p>
        </w:tc>
        <w:tc>
          <w:tcPr>
            <w:tcW w:w="0" w:type="dxa"/>
            <w:vAlign w:val="bottom"/>
          </w:tcPr>
          <w:p>
            <w:pPr>
              <w:spacing w:after="0"/>
              <w:rPr>
                <w:sz w:val="1"/>
                <w:szCs w:val="1"/>
                <w:color w:val="auto"/>
              </w:rPr>
            </w:pPr>
          </w:p>
        </w:tc>
      </w:tr>
      <w:tr>
        <w:trPr>
          <w:trHeight w:val="213"/>
        </w:trPr>
        <w:tc>
          <w:tcPr>
            <w:tcW w:w="3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7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Purchased</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Plans or Programs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0"/>
              </w:rPr>
              <w:t>Programs</w:t>
            </w:r>
          </w:p>
        </w:tc>
        <w:tc>
          <w:tcPr>
            <w:tcW w:w="0" w:type="dxa"/>
            <w:vAlign w:val="bottom"/>
          </w:tcPr>
          <w:p>
            <w:pPr>
              <w:spacing w:after="0"/>
              <w:rPr>
                <w:sz w:val="1"/>
                <w:szCs w:val="1"/>
                <w:color w:val="auto"/>
              </w:rPr>
            </w:pPr>
          </w:p>
        </w:tc>
      </w:tr>
      <w:tr>
        <w:trPr>
          <w:trHeight w:val="212"/>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1, 2023 - July 31, 2023</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174,999,995</w:t>
            </w:r>
          </w:p>
        </w:tc>
        <w:tc>
          <w:tcPr>
            <w:tcW w:w="0" w:type="dxa"/>
            <w:vAlign w:val="bottom"/>
          </w:tcPr>
          <w:p>
            <w:pPr>
              <w:spacing w:after="0"/>
              <w:rPr>
                <w:sz w:val="1"/>
                <w:szCs w:val="1"/>
                <w:color w:val="auto"/>
              </w:rPr>
            </w:pPr>
          </w:p>
        </w:tc>
      </w:tr>
      <w:tr>
        <w:trPr>
          <w:trHeight w:val="213"/>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August 1, 2023 - August 31, 2023</w:t>
            </w:r>
          </w:p>
        </w:tc>
        <w:tc>
          <w:tcPr>
            <w:tcW w:w="1740" w:type="dxa"/>
            <w:vAlign w:val="bottom"/>
          </w:tcPr>
          <w:p>
            <w:pPr>
              <w:jc w:val="right"/>
              <w:spacing w:after="0"/>
              <w:rPr>
                <w:sz w:val="20"/>
                <w:szCs w:val="20"/>
                <w:color w:val="auto"/>
              </w:rPr>
            </w:pPr>
            <w:r>
              <w:rPr>
                <w:rFonts w:ascii="Arial" w:cs="Arial" w:eastAsia="Arial" w:hAnsi="Arial"/>
                <w:sz w:val="16"/>
                <w:szCs w:val="16"/>
                <w:color w:val="auto"/>
              </w:rPr>
              <w:t>1,833,677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34.35</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1,833,677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112,015,417</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1, 2023 - September 30, 2023</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1,079,843</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34.28</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1,079,843</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75,000,067</w:t>
            </w:r>
          </w:p>
        </w:tc>
        <w:tc>
          <w:tcPr>
            <w:tcW w:w="0" w:type="dxa"/>
            <w:vAlign w:val="bottom"/>
          </w:tcPr>
          <w:p>
            <w:pPr>
              <w:spacing w:after="0"/>
              <w:rPr>
                <w:sz w:val="1"/>
                <w:szCs w:val="1"/>
                <w:color w:val="auto"/>
              </w:rPr>
            </w:pPr>
          </w:p>
        </w:tc>
      </w:tr>
      <w:tr>
        <w:trPr>
          <w:trHeight w:val="206"/>
        </w:trPr>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2,913,520</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34.32</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2,913,520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75,000,067</w:t>
            </w: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Adoption, Modification and Termination of Rule 10b5-1 Plans and Certain Other Trading Arrangements</w:t>
      </w:r>
    </w:p>
    <w:p>
      <w:pPr>
        <w:spacing w:after="0" w:line="18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No director or officer of the Company has adopted, modified or terminated a Rule 10b5-1 plan or non-Rule 10b5-1 trading arrangement during the three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Number</w:t>
            </w:r>
          </w:p>
        </w:tc>
        <w:tc>
          <w:tcPr>
            <w:tcW w:w="9720" w:type="dxa"/>
            <w:vAlign w:val="bottom"/>
            <w:tcBorders>
              <w:bottom w:val="single" w:sz="8" w:color="auto"/>
            </w:tcBorders>
            <w:gridSpan w:val="4"/>
          </w:tcPr>
          <w:p>
            <w:pPr>
              <w:ind w:left="4460"/>
              <w:spacing w:after="0"/>
              <w:rPr>
                <w:sz w:val="20"/>
                <w:szCs w:val="20"/>
                <w:color w:val="auto"/>
              </w:rPr>
            </w:pPr>
            <w:r>
              <w:rPr>
                <w:rFonts w:ascii="Arial" w:cs="Arial" w:eastAsia="Arial" w:hAnsi="Arial"/>
                <w:sz w:val="16"/>
                <w:szCs w:val="16"/>
                <w:b w:val="1"/>
                <w:bCs w:val="1"/>
                <w:color w:val="auto"/>
              </w:rPr>
              <w:t>Description</w:t>
            </w:r>
          </w:p>
        </w:tc>
      </w:tr>
      <w:tr>
        <w:trPr>
          <w:trHeight w:val="23"/>
        </w:trPr>
        <w:tc>
          <w:tcPr>
            <w:tcW w:w="1480" w:type="dxa"/>
            <w:vAlign w:val="bottom"/>
            <w:tcBorders>
              <w:bottom w:val="single" w:sz="8" w:color="auto"/>
            </w:tcBorders>
          </w:tcPr>
          <w:p>
            <w:pPr>
              <w:spacing w:after="0"/>
              <w:rPr>
                <w:sz w:val="2"/>
                <w:szCs w:val="2"/>
                <w:color w:val="auto"/>
              </w:rPr>
            </w:pPr>
          </w:p>
        </w:tc>
        <w:tc>
          <w:tcPr>
            <w:tcW w:w="9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83"/>
        </w:trPr>
        <w:tc>
          <w:tcPr>
            <w:tcW w:w="1480" w:type="dxa"/>
            <w:vAlign w:val="bottom"/>
          </w:tcPr>
          <w:p>
            <w:pPr>
              <w:ind w:left="20"/>
              <w:spacing w:after="0" w:line="183" w:lineRule="exact"/>
              <w:rPr>
                <w:sz w:val="20"/>
                <w:szCs w:val="20"/>
                <w:color w:val="auto"/>
              </w:rPr>
            </w:pPr>
            <w:r>
              <w:rPr>
                <w:rFonts w:ascii="Arial" w:cs="Arial" w:eastAsia="Arial" w:hAnsi="Arial"/>
                <w:sz w:val="16"/>
                <w:szCs w:val="16"/>
                <w:color w:val="auto"/>
              </w:rPr>
              <w:t>31.1</w:t>
            </w:r>
          </w:p>
        </w:tc>
        <w:tc>
          <w:tcPr>
            <w:tcW w:w="9720" w:type="dxa"/>
            <w:vAlign w:val="bottom"/>
            <w:gridSpan w:val="4"/>
          </w:tcPr>
          <w:p>
            <w:pPr>
              <w:spacing w:after="0" w:line="183" w:lineRule="exact"/>
              <w:rPr>
                <w:sz w:val="20"/>
                <w:szCs w:val="20"/>
                <w:color w:val="auto"/>
              </w:rPr>
            </w:pPr>
            <w:r>
              <w:rPr>
                <w:rFonts w:ascii="Arial" w:cs="Arial" w:eastAsia="Arial" w:hAnsi="Arial"/>
                <w:sz w:val="16"/>
                <w:szCs w:val="16"/>
                <w:color w:val="0000FF"/>
                <w:w w:val="93"/>
              </w:rPr>
              <w:t>Certification of Chief Executive Officer pursuant to 18 U.S.C. Section 1350, as adopted pursuant to Section 302 of the Sarbanes-Oxley Act of 2002.</w:t>
            </w:r>
          </w:p>
        </w:tc>
      </w:tr>
      <w:tr>
        <w:trPr>
          <w:trHeight w:val="209"/>
        </w:trPr>
        <w:tc>
          <w:tcPr>
            <w:tcW w:w="1480" w:type="dxa"/>
            <w:vAlign w:val="bottom"/>
          </w:tcPr>
          <w:p>
            <w:pPr>
              <w:ind w:left="20"/>
              <w:spacing w:after="0"/>
              <w:rPr>
                <w:sz w:val="20"/>
                <w:szCs w:val="20"/>
                <w:color w:val="auto"/>
              </w:rPr>
            </w:pPr>
            <w:r>
              <w:rPr>
                <w:rFonts w:ascii="Arial" w:cs="Arial" w:eastAsia="Arial" w:hAnsi="Arial"/>
                <w:sz w:val="16"/>
                <w:szCs w:val="16"/>
                <w:color w:val="auto"/>
              </w:rPr>
              <w:t>31.2</w:t>
            </w:r>
          </w:p>
        </w:tc>
        <w:tc>
          <w:tcPr>
            <w:tcW w:w="95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color w:val="0000FF"/>
                <w:w w:val="92"/>
              </w:rPr>
              <w:t>Certification of Chief Financial Officer pursuant to 18 U.S.C. Section 1350, as adopted pursuant to Section 302 of the Sarbanes-Oxley Act of 2002.</w:t>
            </w:r>
          </w:p>
        </w:tc>
        <w:tc>
          <w:tcPr>
            <w:tcW w:w="2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r>
      <w:tr>
        <w:trPr>
          <w:trHeight w:val="196"/>
        </w:trPr>
        <w:tc>
          <w:tcPr>
            <w:tcW w:w="1480" w:type="dxa"/>
            <w:vAlign w:val="bottom"/>
          </w:tcPr>
          <w:p>
            <w:pPr>
              <w:ind w:left="20"/>
              <w:spacing w:after="0"/>
              <w:rPr>
                <w:sz w:val="20"/>
                <w:szCs w:val="20"/>
                <w:color w:val="auto"/>
              </w:rPr>
            </w:pPr>
            <w:r>
              <w:rPr>
                <w:rFonts w:ascii="Arial" w:cs="Arial" w:eastAsia="Arial" w:hAnsi="Arial"/>
                <w:sz w:val="16"/>
                <w:szCs w:val="16"/>
                <w:color w:val="auto"/>
              </w:rPr>
              <w:t>32.1</w:t>
            </w:r>
          </w:p>
        </w:tc>
        <w:tc>
          <w:tcPr>
            <w:tcW w:w="9720" w:type="dxa"/>
            <w:vAlign w:val="bottom"/>
            <w:gridSpan w:val="4"/>
          </w:tcPr>
          <w:p>
            <w:pPr>
              <w:spacing w:after="0"/>
              <w:rPr>
                <w:sz w:val="20"/>
                <w:szCs w:val="20"/>
                <w:color w:val="auto"/>
              </w:rPr>
            </w:pPr>
            <w:r>
              <w:rPr>
                <w:rFonts w:ascii="Arial" w:cs="Arial" w:eastAsia="Arial" w:hAnsi="Arial"/>
                <w:sz w:val="16"/>
                <w:szCs w:val="16"/>
                <w:color w:val="0000FF"/>
                <w:w w:val="93"/>
              </w:rPr>
              <w:t>Certification of Chief Executive Officer pursuant to 18 U.S.C. Section 1350, as adopted pursuant to Section 906 of the Sarbanes-Oxley Act of 2002.</w:t>
            </w:r>
          </w:p>
        </w:tc>
      </w:tr>
      <w:tr>
        <w:trPr>
          <w:trHeight w:val="196"/>
        </w:trPr>
        <w:tc>
          <w:tcPr>
            <w:tcW w:w="1480" w:type="dxa"/>
            <w:vAlign w:val="bottom"/>
          </w:tcPr>
          <w:p>
            <w:pPr>
              <w:ind w:left="20"/>
              <w:spacing w:after="0"/>
              <w:rPr>
                <w:sz w:val="20"/>
                <w:szCs w:val="20"/>
                <w:color w:val="auto"/>
              </w:rPr>
            </w:pPr>
            <w:r>
              <w:rPr>
                <w:rFonts w:ascii="Arial" w:cs="Arial" w:eastAsia="Arial" w:hAnsi="Arial"/>
                <w:sz w:val="16"/>
                <w:szCs w:val="16"/>
                <w:color w:val="auto"/>
              </w:rPr>
              <w:t>32.2</w:t>
            </w:r>
          </w:p>
        </w:tc>
        <w:tc>
          <w:tcPr>
            <w:tcW w:w="960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0000FF"/>
                <w:w w:val="92"/>
              </w:rPr>
              <w:t>Certification of Chief Financial Officer pursuant to 18 U.S.C. Section 1350, as adopted pursuant to Section 906 of the Sarbanes-Oxley Act of 2002.</w:t>
            </w:r>
          </w:p>
        </w:tc>
        <w:tc>
          <w:tcPr>
            <w:tcW w:w="120" w:type="dxa"/>
            <w:vAlign w:val="bottom"/>
          </w:tcPr>
          <w:p>
            <w:pPr>
              <w:spacing w:after="0"/>
              <w:rPr>
                <w:sz w:val="17"/>
                <w:szCs w:val="17"/>
                <w:color w:val="auto"/>
              </w:rPr>
            </w:pPr>
          </w:p>
        </w:tc>
      </w:tr>
      <w:tr>
        <w:trPr>
          <w:trHeight w:val="231"/>
        </w:trPr>
        <w:tc>
          <w:tcPr>
            <w:tcW w:w="1480" w:type="dxa"/>
            <w:vAlign w:val="bottom"/>
          </w:tcPr>
          <w:p>
            <w:pPr>
              <w:ind w:left="20"/>
              <w:spacing w:after="0"/>
              <w:rPr>
                <w:sz w:val="20"/>
                <w:szCs w:val="20"/>
                <w:color w:val="auto"/>
              </w:rPr>
            </w:pPr>
            <w:r>
              <w:rPr>
                <w:rFonts w:ascii="Arial" w:cs="Arial" w:eastAsia="Arial" w:hAnsi="Arial"/>
                <w:sz w:val="16"/>
                <w:szCs w:val="16"/>
                <w:color w:val="auto"/>
              </w:rPr>
              <w:t>101.INS</w:t>
            </w:r>
          </w:p>
        </w:tc>
        <w:tc>
          <w:tcPr>
            <w:tcW w:w="9560" w:type="dxa"/>
            <w:vAlign w:val="bottom"/>
            <w:tcBorders>
              <w:top w:val="single" w:sz="8" w:color="0000FF"/>
            </w:tcBorders>
          </w:tcPr>
          <w:p>
            <w:pPr>
              <w:spacing w:after="0"/>
              <w:rPr>
                <w:sz w:val="20"/>
                <w:szCs w:val="20"/>
                <w:color w:val="auto"/>
              </w:rPr>
            </w:pPr>
            <w:r>
              <w:rPr>
                <w:rFonts w:ascii="Arial" w:cs="Arial" w:eastAsia="Arial" w:hAnsi="Arial"/>
                <w:sz w:val="16"/>
                <w:szCs w:val="16"/>
                <w:color w:val="auto"/>
              </w:rPr>
              <w:t>XBRL Instance Document</w:t>
            </w:r>
          </w:p>
        </w:tc>
        <w:tc>
          <w:tcPr>
            <w:tcW w:w="160" w:type="dxa"/>
            <w:vAlign w:val="bottom"/>
            <w:gridSpan w:val="3"/>
          </w:tcPr>
          <w:p>
            <w:pPr>
              <w:spacing w:after="0"/>
              <w:rPr>
                <w:sz w:val="20"/>
                <w:szCs w:val="20"/>
                <w:color w:val="auto"/>
              </w:rPr>
            </w:pPr>
          </w:p>
        </w:tc>
      </w:tr>
      <w:tr>
        <w:trPr>
          <w:trHeight w:val="216"/>
        </w:trPr>
        <w:tc>
          <w:tcPr>
            <w:tcW w:w="1480" w:type="dxa"/>
            <w:vAlign w:val="bottom"/>
          </w:tcPr>
          <w:p>
            <w:pPr>
              <w:ind w:left="20"/>
              <w:spacing w:after="0"/>
              <w:rPr>
                <w:sz w:val="20"/>
                <w:szCs w:val="20"/>
                <w:color w:val="auto"/>
              </w:rPr>
            </w:pPr>
            <w:r>
              <w:rPr>
                <w:rFonts w:ascii="Arial" w:cs="Arial" w:eastAsia="Arial" w:hAnsi="Arial"/>
                <w:sz w:val="16"/>
                <w:szCs w:val="16"/>
                <w:color w:val="auto"/>
              </w:rPr>
              <w:t>101.SCH</w:t>
            </w:r>
          </w:p>
        </w:tc>
        <w:tc>
          <w:tcPr>
            <w:tcW w:w="9720" w:type="dxa"/>
            <w:vAlign w:val="bottom"/>
            <w:gridSpan w:val="4"/>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1480" w:type="dxa"/>
            <w:vAlign w:val="bottom"/>
          </w:tcPr>
          <w:p>
            <w:pPr>
              <w:ind w:left="20"/>
              <w:spacing w:after="0"/>
              <w:rPr>
                <w:sz w:val="20"/>
                <w:szCs w:val="20"/>
                <w:color w:val="auto"/>
              </w:rPr>
            </w:pPr>
            <w:r>
              <w:rPr>
                <w:rFonts w:ascii="Arial" w:cs="Arial" w:eastAsia="Arial" w:hAnsi="Arial"/>
                <w:sz w:val="16"/>
                <w:szCs w:val="16"/>
                <w:color w:val="auto"/>
              </w:rPr>
              <w:t>101.CAL</w:t>
            </w:r>
          </w:p>
        </w:tc>
        <w:tc>
          <w:tcPr>
            <w:tcW w:w="9720" w:type="dxa"/>
            <w:vAlign w:val="bottom"/>
            <w:gridSpan w:val="4"/>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1480" w:type="dxa"/>
            <w:vAlign w:val="bottom"/>
          </w:tcPr>
          <w:p>
            <w:pPr>
              <w:ind w:left="20"/>
              <w:spacing w:after="0"/>
              <w:rPr>
                <w:sz w:val="20"/>
                <w:szCs w:val="20"/>
                <w:color w:val="auto"/>
              </w:rPr>
            </w:pPr>
            <w:r>
              <w:rPr>
                <w:rFonts w:ascii="Arial" w:cs="Arial" w:eastAsia="Arial" w:hAnsi="Arial"/>
                <w:sz w:val="16"/>
                <w:szCs w:val="16"/>
                <w:color w:val="auto"/>
              </w:rPr>
              <w:t>101.DEF</w:t>
            </w:r>
          </w:p>
        </w:tc>
        <w:tc>
          <w:tcPr>
            <w:tcW w:w="9720" w:type="dxa"/>
            <w:vAlign w:val="bottom"/>
            <w:gridSpan w:val="4"/>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1480" w:type="dxa"/>
            <w:vAlign w:val="bottom"/>
          </w:tcPr>
          <w:p>
            <w:pPr>
              <w:ind w:left="20"/>
              <w:spacing w:after="0"/>
              <w:rPr>
                <w:sz w:val="20"/>
                <w:szCs w:val="20"/>
                <w:color w:val="auto"/>
              </w:rPr>
            </w:pPr>
            <w:r>
              <w:rPr>
                <w:rFonts w:ascii="Arial" w:cs="Arial" w:eastAsia="Arial" w:hAnsi="Arial"/>
                <w:sz w:val="16"/>
                <w:szCs w:val="16"/>
                <w:color w:val="auto"/>
              </w:rPr>
              <w:t>101.LAB</w:t>
            </w:r>
          </w:p>
        </w:tc>
        <w:tc>
          <w:tcPr>
            <w:tcW w:w="9720" w:type="dxa"/>
            <w:vAlign w:val="bottom"/>
            <w:gridSpan w:val="4"/>
          </w:tcPr>
          <w:p>
            <w:pPr>
              <w:spacing w:after="0"/>
              <w:rPr>
                <w:sz w:val="20"/>
                <w:szCs w:val="20"/>
                <w:color w:val="auto"/>
              </w:rPr>
            </w:pPr>
            <w:r>
              <w:rPr>
                <w:rFonts w:ascii="Arial" w:cs="Arial" w:eastAsia="Arial" w:hAnsi="Arial"/>
                <w:sz w:val="16"/>
                <w:szCs w:val="16"/>
                <w:color w:val="auto"/>
              </w:rPr>
              <w:t>XBRL Taxonomy Extension Labels Linkbase Document</w:t>
            </w:r>
          </w:p>
        </w:tc>
      </w:tr>
      <w:tr>
        <w:trPr>
          <w:trHeight w:val="216"/>
        </w:trPr>
        <w:tc>
          <w:tcPr>
            <w:tcW w:w="1480" w:type="dxa"/>
            <w:vAlign w:val="bottom"/>
          </w:tcPr>
          <w:p>
            <w:pPr>
              <w:ind w:left="20"/>
              <w:spacing w:after="0"/>
              <w:rPr>
                <w:sz w:val="20"/>
                <w:szCs w:val="20"/>
                <w:color w:val="auto"/>
              </w:rPr>
            </w:pPr>
            <w:r>
              <w:rPr>
                <w:rFonts w:ascii="Arial" w:cs="Arial" w:eastAsia="Arial" w:hAnsi="Arial"/>
                <w:sz w:val="16"/>
                <w:szCs w:val="16"/>
                <w:color w:val="auto"/>
              </w:rPr>
              <w:t>101.PRE</w:t>
            </w:r>
          </w:p>
        </w:tc>
        <w:tc>
          <w:tcPr>
            <w:tcW w:w="9720" w:type="dxa"/>
            <w:vAlign w:val="bottom"/>
            <w:gridSpan w:val="4"/>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16"/>
        </w:trPr>
        <w:tc>
          <w:tcPr>
            <w:tcW w:w="1480" w:type="dxa"/>
            <w:vAlign w:val="bottom"/>
          </w:tcPr>
          <w:p>
            <w:pPr>
              <w:ind w:left="20"/>
              <w:spacing w:after="0"/>
              <w:rPr>
                <w:sz w:val="20"/>
                <w:szCs w:val="20"/>
                <w:color w:val="auto"/>
              </w:rPr>
            </w:pPr>
            <w:r>
              <w:rPr>
                <w:rFonts w:ascii="Arial" w:cs="Arial" w:eastAsia="Arial" w:hAnsi="Arial"/>
                <w:sz w:val="16"/>
                <w:szCs w:val="16"/>
                <w:color w:val="auto"/>
              </w:rPr>
              <w:t>104</w:t>
            </w:r>
          </w:p>
        </w:tc>
        <w:tc>
          <w:tcPr>
            <w:tcW w:w="9720" w:type="dxa"/>
            <w:vAlign w:val="bottom"/>
            <w:gridSpan w:val="4"/>
          </w:tcPr>
          <w:p>
            <w:pPr>
              <w:spacing w:after="0"/>
              <w:rPr>
                <w:sz w:val="20"/>
                <w:szCs w:val="20"/>
                <w:color w:val="auto"/>
              </w:rPr>
            </w:pPr>
            <w:r>
              <w:rPr>
                <w:rFonts w:ascii="Arial" w:cs="Arial" w:eastAsia="Arial" w:hAnsi="Arial"/>
                <w:sz w:val="16"/>
                <w:szCs w:val="16"/>
                <w:color w:val="auto"/>
              </w:rPr>
              <w:t>XBRL Formatted Cover Page</w:t>
            </w:r>
          </w:p>
        </w:tc>
      </w:tr>
    </w:tbl>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OPTION CARE HEALTH, INC.</w:t>
            </w:r>
          </w:p>
        </w:tc>
      </w:tr>
      <w:tr>
        <w:trPr>
          <w:trHeight w:val="459"/>
        </w:trPr>
        <w:tc>
          <w:tcPr>
            <w:tcW w:w="2420" w:type="dxa"/>
            <w:vAlign w:val="bottom"/>
          </w:tcPr>
          <w:p>
            <w:pPr>
              <w:spacing w:after="0"/>
              <w:rPr>
                <w:sz w:val="20"/>
                <w:szCs w:val="20"/>
                <w:color w:val="auto"/>
              </w:rPr>
            </w:pPr>
            <w:r>
              <w:rPr>
                <w:rFonts w:ascii="Arial" w:cs="Arial" w:eastAsia="Arial" w:hAnsi="Arial"/>
                <w:sz w:val="18"/>
                <w:szCs w:val="18"/>
                <w:color w:val="auto"/>
              </w:rPr>
              <w:t>Date: October 25, 2023</w:t>
            </w:r>
          </w:p>
        </w:tc>
        <w:tc>
          <w:tcPr>
            <w:tcW w:w="5460" w:type="dxa"/>
            <w:vAlign w:val="bottom"/>
          </w:tcPr>
          <w:p>
            <w:pPr>
              <w:spacing w:after="0"/>
              <w:rPr>
                <w:sz w:val="24"/>
                <w:szCs w:val="24"/>
                <w:color w:val="auto"/>
              </w:rPr>
            </w:pP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 Michael Shapiro</w:t>
            </w:r>
          </w:p>
        </w:tc>
      </w:tr>
      <w:tr>
        <w:trPr>
          <w:trHeight w:val="224"/>
        </w:trPr>
        <w:tc>
          <w:tcPr>
            <w:tcW w:w="24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Michael Shapiro</w:t>
            </w:r>
          </w:p>
        </w:tc>
      </w:tr>
      <w:tr>
        <w:trPr>
          <w:trHeight w:val="364"/>
        </w:trPr>
        <w:tc>
          <w:tcPr>
            <w:tcW w:w="2420" w:type="dxa"/>
            <w:vAlign w:val="bottom"/>
          </w:tcPr>
          <w:p>
            <w:pPr>
              <w:spacing w:after="0"/>
              <w:rPr>
                <w:sz w:val="24"/>
                <w:szCs w:val="24"/>
                <w:color w:val="auto"/>
              </w:rPr>
            </w:pPr>
          </w:p>
        </w:tc>
        <w:tc>
          <w:tcPr>
            <w:tcW w:w="8800" w:type="dxa"/>
            <w:vAlign w:val="bottom"/>
            <w:gridSpan w:val="2"/>
          </w:tcPr>
          <w:p>
            <w:pPr>
              <w:jc w:val="right"/>
              <w:spacing w:after="0"/>
              <w:rPr>
                <w:sz w:val="20"/>
                <w:szCs w:val="20"/>
                <w:color w:val="auto"/>
              </w:rPr>
            </w:pPr>
            <w:r>
              <w:rPr>
                <w:rFonts w:ascii="Arial" w:cs="Arial" w:eastAsia="Arial" w:hAnsi="Arial"/>
                <w:sz w:val="18"/>
                <w:szCs w:val="18"/>
                <w:color w:val="auto"/>
              </w:rPr>
              <w:t>Chief Financial Officer and Executive Vice President (Principal Financial Officer and Duly Authorized Officer)</w:t>
            </w:r>
          </w:p>
        </w:tc>
      </w:tr>
      <w:tr>
        <w:trPr>
          <w:trHeight w:val="864"/>
        </w:trPr>
        <w:tc>
          <w:tcPr>
            <w:tcW w:w="2420" w:type="dxa"/>
            <w:vAlign w:val="bottom"/>
          </w:tcPr>
          <w:p>
            <w:pPr>
              <w:spacing w:after="0"/>
              <w:rPr>
                <w:sz w:val="24"/>
                <w:szCs w:val="24"/>
                <w:color w:val="auto"/>
              </w:rPr>
            </w:pPr>
          </w:p>
        </w:tc>
        <w:tc>
          <w:tcPr>
            <w:tcW w:w="5460" w:type="dxa"/>
            <w:vAlign w:val="bottom"/>
          </w:tcPr>
          <w:p>
            <w:pPr>
              <w:jc w:val="right"/>
              <w:ind w:right="2090"/>
              <w:spacing w:after="0"/>
              <w:rPr>
                <w:sz w:val="20"/>
                <w:szCs w:val="20"/>
                <w:color w:val="auto"/>
              </w:rPr>
            </w:pPr>
            <w:r>
              <w:rPr>
                <w:rFonts w:ascii="Arial" w:cs="Arial" w:eastAsia="Arial" w:hAnsi="Arial"/>
                <w:sz w:val="18"/>
                <w:szCs w:val="18"/>
                <w:color w:val="auto"/>
              </w:rPr>
              <w:t>34</w:t>
            </w:r>
          </w:p>
        </w:tc>
        <w:tc>
          <w:tcPr>
            <w:tcW w:w="33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4" w:name="page35"/>
    <w:bookmarkEnd w:id="34"/>
    <w:p>
      <w:pPr>
        <w:ind w:left="10180"/>
        <w:spacing w:after="0"/>
        <w:rPr>
          <w:sz w:val="20"/>
          <w:szCs w:val="20"/>
          <w:color w:val="auto"/>
        </w:rPr>
      </w:pPr>
      <w:r>
        <w:rPr>
          <w:rFonts w:ascii="Arial" w:cs="Arial" w:eastAsia="Arial" w:hAnsi="Arial"/>
          <w:sz w:val="16"/>
          <w:szCs w:val="16"/>
          <w:b w:val="1"/>
          <w:bCs w:val="1"/>
          <w:color w:val="auto"/>
        </w:rPr>
        <w:t>EXHIBIT 31.1</w:t>
      </w:r>
    </w:p>
    <w:p>
      <w:pPr>
        <w:spacing w:after="0" w:line="24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Rademacher, certify that:</w:t>
      </w:r>
    </w:p>
    <w:p>
      <w:pPr>
        <w:spacing w:after="0" w:line="104"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Option Care Health, Inc.;</w:t>
      </w:r>
    </w:p>
    <w:p>
      <w:pPr>
        <w:spacing w:after="0" w:line="103" w:lineRule="exact"/>
        <w:rPr>
          <w:rFonts w:ascii="Arial" w:cs="Arial" w:eastAsia="Arial" w:hAnsi="Arial"/>
          <w:sz w:val="18"/>
          <w:szCs w:val="18"/>
          <w:color w:val="auto"/>
        </w:rPr>
      </w:pPr>
    </w:p>
    <w:p>
      <w:pPr>
        <w:ind w:left="660" w:hanging="652"/>
        <w:spacing w:after="0" w:line="263" w:lineRule="auto"/>
        <w:tabs>
          <w:tab w:leader="none" w:pos="435"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hanging="652"/>
        <w:spacing w:after="0" w:line="308" w:lineRule="auto"/>
        <w:tabs>
          <w:tab w:leader="none" w:pos="442"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660" w:hanging="652"/>
        <w:spacing w:after="0" w:line="263" w:lineRule="auto"/>
        <w:tabs>
          <w:tab w:leader="none" w:pos="45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hanging="644"/>
        <w:spacing w:after="0" w:line="263" w:lineRule="auto"/>
        <w:tabs>
          <w:tab w:leader="none" w:pos="1106"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hanging="644"/>
        <w:spacing w:after="0" w:line="263" w:lineRule="auto"/>
        <w:tabs>
          <w:tab w:leader="none" w:pos="115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hanging="644"/>
        <w:spacing w:after="0" w:line="308" w:lineRule="auto"/>
        <w:tabs>
          <w:tab w:leader="none" w:pos="1179"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ind w:left="1300" w:hanging="644"/>
        <w:spacing w:after="0" w:line="263" w:lineRule="auto"/>
        <w:tabs>
          <w:tab w:leader="none" w:pos="11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660" w:hanging="652"/>
        <w:spacing w:after="0" w:line="308" w:lineRule="auto"/>
        <w:tabs>
          <w:tab w:leader="none" w:pos="429"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300" w:hanging="644"/>
        <w:spacing w:after="0" w:line="308" w:lineRule="auto"/>
        <w:tabs>
          <w:tab w:leader="none" w:pos="1223"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300" w:hanging="644"/>
        <w:spacing w:after="0" w:line="277" w:lineRule="auto"/>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2023</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John Rademacher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Rademacher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Principal Executive Officer</w:t>
      </w:r>
    </w:p>
    <w:p>
      <w:pPr>
        <w:sectPr>
          <w:pgSz w:w="11900" w:h="16838" w:orient="portrait"/>
          <w:cols w:equalWidth="0" w:num="1">
            <w:col w:w="11240"/>
          </w:cols>
          <w:pgMar w:left="320" w:top="89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auto"/>
        </w:rPr>
        <w:t>EXHIBIT 31.2</w:t>
      </w:r>
    </w:p>
    <w:p>
      <w:pPr>
        <w:spacing w:after="0" w:line="24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Shapiro, certify that:</w:t>
      </w:r>
    </w:p>
    <w:p>
      <w:pPr>
        <w:spacing w:after="0" w:line="104"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Option Care Health, Inc.;</w:t>
      </w:r>
    </w:p>
    <w:p>
      <w:pPr>
        <w:spacing w:after="0" w:line="103" w:lineRule="exact"/>
        <w:rPr>
          <w:rFonts w:ascii="Arial" w:cs="Arial" w:eastAsia="Arial" w:hAnsi="Arial"/>
          <w:sz w:val="18"/>
          <w:szCs w:val="18"/>
          <w:color w:val="auto"/>
        </w:rPr>
      </w:pPr>
    </w:p>
    <w:p>
      <w:pPr>
        <w:ind w:left="660" w:hanging="652"/>
        <w:spacing w:after="0" w:line="263" w:lineRule="auto"/>
        <w:tabs>
          <w:tab w:leader="none" w:pos="435"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hanging="652"/>
        <w:spacing w:after="0" w:line="308" w:lineRule="auto"/>
        <w:tabs>
          <w:tab w:leader="none" w:pos="442"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660" w:hanging="652"/>
        <w:spacing w:after="0" w:line="263" w:lineRule="auto"/>
        <w:tabs>
          <w:tab w:leader="none" w:pos="45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hanging="644"/>
        <w:spacing w:after="0" w:line="263" w:lineRule="auto"/>
        <w:tabs>
          <w:tab w:leader="none" w:pos="1106"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hanging="644"/>
        <w:spacing w:after="0" w:line="263" w:lineRule="auto"/>
        <w:tabs>
          <w:tab w:leader="none" w:pos="115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hanging="644"/>
        <w:spacing w:after="0" w:line="308" w:lineRule="auto"/>
        <w:tabs>
          <w:tab w:leader="none" w:pos="1179"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ind w:left="1300" w:hanging="644"/>
        <w:spacing w:after="0" w:line="263" w:lineRule="auto"/>
        <w:tabs>
          <w:tab w:leader="none" w:pos="11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660" w:hanging="652"/>
        <w:spacing w:after="0" w:line="308" w:lineRule="auto"/>
        <w:tabs>
          <w:tab w:leader="none" w:pos="429"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300" w:hanging="644"/>
        <w:spacing w:after="0" w:line="308" w:lineRule="auto"/>
        <w:tabs>
          <w:tab w:leader="none" w:pos="1223"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300" w:hanging="644"/>
        <w:spacing w:after="0" w:line="277" w:lineRule="auto"/>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2023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Shapiro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Shapiro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Principal Financial Officer</w:t>
      </w:r>
    </w:p>
    <w:p>
      <w:pPr>
        <w:sectPr>
          <w:pgSz w:w="11900" w:h="16838" w:orient="portrait"/>
          <w:cols w:equalWidth="0" w:num="1">
            <w:col w:w="11240"/>
          </w:cols>
          <w:pgMar w:left="320" w:top="89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8" w:lineRule="exact"/>
        <w:rPr>
          <w:sz w:val="20"/>
          <w:szCs w:val="20"/>
          <w:color w:val="auto"/>
        </w:rPr>
      </w:pPr>
    </w:p>
    <w:p>
      <w:pPr>
        <w:jc w:val="both"/>
        <w:ind w:firstLine="199"/>
        <w:spacing w:after="0" w:line="286" w:lineRule="auto"/>
        <w:rPr>
          <w:sz w:val="20"/>
          <w:szCs w:val="20"/>
          <w:color w:val="auto"/>
        </w:rPr>
      </w:pPr>
      <w:r>
        <w:rPr>
          <w:rFonts w:ascii="Arial" w:cs="Arial" w:eastAsia="Arial" w:hAnsi="Arial"/>
          <w:sz w:val="17"/>
          <w:szCs w:val="17"/>
          <w:color w:val="auto"/>
        </w:rPr>
        <w:t>In connection with the Quarterly Report of Option Care Health, Inc. (the “Company”) on Form 10-Q for the quarter ended September 30, 2023, as filed with the Securities and Exchange Commission on the date hereof (the “Report”), I, John Rademacher, Chief Executive Officer of the Company, do hereby certify, pursuant to 18 U.S.C. Section 1350, as adopted pursuant to Section 906 of the Sarbanes-Oxley Act of 2002, that to my knowledge:</w:t>
      </w:r>
    </w:p>
    <w:p>
      <w:pPr>
        <w:spacing w:after="0" w:line="30"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John Rademacher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Rademacher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Principal Executive Officer</w:t>
      </w:r>
    </w:p>
    <w:p>
      <w:pPr>
        <w:sectPr>
          <w:pgSz w:w="11900" w:h="16838" w:orient="portrait"/>
          <w:cols w:equalWidth="0" w:num="1">
            <w:col w:w="11240"/>
          </w:cols>
          <w:pgMar w:left="320" w:top="89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8" w:lineRule="exact"/>
        <w:rPr>
          <w:sz w:val="20"/>
          <w:szCs w:val="20"/>
          <w:color w:val="auto"/>
        </w:rPr>
      </w:pPr>
    </w:p>
    <w:p>
      <w:pPr>
        <w:jc w:val="both"/>
        <w:ind w:firstLine="199"/>
        <w:spacing w:after="0" w:line="286" w:lineRule="auto"/>
        <w:rPr>
          <w:sz w:val="20"/>
          <w:szCs w:val="20"/>
          <w:color w:val="auto"/>
        </w:rPr>
      </w:pPr>
      <w:r>
        <w:rPr>
          <w:rFonts w:ascii="Arial" w:cs="Arial" w:eastAsia="Arial" w:hAnsi="Arial"/>
          <w:sz w:val="17"/>
          <w:szCs w:val="17"/>
          <w:color w:val="auto"/>
        </w:rPr>
        <w:t>In connection with the Quarterly Report of Option Care Health, Inc. (the “Company”) on Form 10-Q for the quarter ended September 30, 2023, as filed with the Securities and Exchange Commission on the date hereof (the “Report”), I, Michael Shapiro, Chief Financial Officer of the Company, do hereby certify, pursuant to 18 U.S.C. Section 1350, as adopted pursuant to Section 906 of the Sarbanes-Oxley Act of 2002, that to my knowledge:</w:t>
      </w:r>
    </w:p>
    <w:p>
      <w:pPr>
        <w:spacing w:after="0" w:line="30"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Shapiro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Shapiro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2023-10-25T15:11:59Z</dcterms:created>
  <dcterms:modified xsi:type="dcterms:W3CDTF">2023-10-25T15:11:59Z</dcterms:modified>
</cp:coreProperties>
</file>