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344805</wp:posOffset>
            </wp:positionH>
            <wp:positionV relativeFrom="page">
              <wp:posOffset>712470</wp:posOffset>
            </wp:positionV>
            <wp:extent cx="686752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7525" cy="4127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36"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23" w:lineRule="exact"/>
        <w:rPr>
          <w:sz w:val="24"/>
          <w:szCs w:val="24"/>
          <w:color w:val="auto"/>
        </w:rPr>
      </w:pPr>
    </w:p>
    <w:p>
      <w:pPr>
        <w:ind w:left="1100" w:right="2260" w:hanging="625"/>
        <w:spacing w:after="0" w:line="269"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23" w:lineRule="exact"/>
        <w:rPr>
          <w:sz w:val="24"/>
          <w:szCs w:val="24"/>
          <w:color w:val="auto"/>
        </w:rPr>
      </w:pPr>
    </w:p>
    <w:p>
      <w:pPr>
        <w:ind w:left="1100" w:hanging="625"/>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 w:lineRule="exact"/>
        <w:rPr>
          <w:sz w:val="24"/>
          <w:szCs w:val="24"/>
          <w:color w:val="auto"/>
        </w:rPr>
      </w:pPr>
    </w:p>
    <w:p>
      <w:pPr>
        <w:ind w:left="1100"/>
        <w:spacing w:after="0"/>
        <w:tabs>
          <w:tab w:leader="none" w:pos="32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6985</wp:posOffset>
            </wp:positionV>
            <wp:extent cx="164084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0840" cy="664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OPTION CARE HEALTH,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95" w:lineRule="exact"/>
        <w:rPr>
          <w:sz w:val="24"/>
          <w:szCs w:val="24"/>
          <w:color w:val="auto"/>
        </w:rPr>
      </w:pPr>
    </w:p>
    <w:tbl>
      <w:tblPr>
        <w:tblLayout w:type="fixed"/>
        <w:tblInd w:w="3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260" w:type="dxa"/>
            <w:vAlign w:val="bottom"/>
          </w:tcPr>
          <w:p>
            <w:pPr>
              <w:jc w:val="center"/>
              <w:ind w:left="162"/>
              <w:spacing w:after="0"/>
              <w:rPr>
                <w:sz w:val="20"/>
                <w:szCs w:val="20"/>
                <w:color w:val="auto"/>
              </w:rPr>
            </w:pPr>
            <w:r>
              <w:rPr>
                <w:rFonts w:ascii="Arial" w:cs="Arial" w:eastAsia="Arial" w:hAnsi="Arial"/>
                <w:sz w:val="16"/>
                <w:szCs w:val="16"/>
                <w:b w:val="1"/>
                <w:bCs w:val="1"/>
                <w:color w:val="auto"/>
                <w:w w:val="88"/>
              </w:rPr>
              <w:t>Delaware</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0" w:type="dxa"/>
            <w:vAlign w:val="bottom"/>
          </w:tcPr>
          <w:p>
            <w:pPr>
              <w:jc w:val="right"/>
              <w:ind w:right="2142"/>
              <w:spacing w:after="0"/>
              <w:rPr>
                <w:sz w:val="20"/>
                <w:szCs w:val="20"/>
                <w:color w:val="auto"/>
              </w:rPr>
            </w:pPr>
            <w:r>
              <w:rPr>
                <w:rFonts w:ascii="Arial" w:cs="Arial" w:eastAsia="Arial" w:hAnsi="Arial"/>
                <w:sz w:val="16"/>
                <w:szCs w:val="16"/>
                <w:b w:val="1"/>
                <w:bCs w:val="1"/>
                <w:color w:val="auto"/>
              </w:rPr>
              <w:t>05-0489664</w:t>
            </w:r>
          </w:p>
        </w:tc>
      </w:tr>
      <w:tr>
        <w:trPr>
          <w:trHeight w:val="207"/>
        </w:trPr>
        <w:tc>
          <w:tcPr>
            <w:tcW w:w="2540" w:type="dxa"/>
            <w:vAlign w:val="bottom"/>
          </w:tcPr>
          <w:p>
            <w:pPr>
              <w:spacing w:after="0"/>
              <w:rPr>
                <w:sz w:val="17"/>
                <w:szCs w:val="17"/>
                <w:color w:val="auto"/>
              </w:rPr>
            </w:pPr>
          </w:p>
        </w:tc>
        <w:tc>
          <w:tcPr>
            <w:tcW w:w="2480" w:type="dxa"/>
            <w:vAlign w:val="bottom"/>
            <w:gridSpan w:val="2"/>
          </w:tcPr>
          <w:p>
            <w:pPr>
              <w:jc w:val="center"/>
              <w:ind w:right="922"/>
              <w:spacing w:after="0"/>
              <w:rPr>
                <w:sz w:val="20"/>
                <w:szCs w:val="20"/>
                <w:color w:val="auto"/>
              </w:rPr>
            </w:pPr>
            <w:r>
              <w:rPr>
                <w:rFonts w:ascii="Arial" w:cs="Arial" w:eastAsia="Arial" w:hAnsi="Arial"/>
                <w:sz w:val="16"/>
                <w:szCs w:val="16"/>
                <w:i w:val="1"/>
                <w:iCs w:val="1"/>
                <w:color w:val="auto"/>
                <w:w w:val="90"/>
              </w:rPr>
              <w:t>(State of incorporation)</w:t>
            </w:r>
          </w:p>
        </w:tc>
        <w:tc>
          <w:tcPr>
            <w:tcW w:w="1300" w:type="dxa"/>
            <w:vAlign w:val="bottom"/>
          </w:tcPr>
          <w:p>
            <w:pPr>
              <w:spacing w:after="0"/>
              <w:rPr>
                <w:sz w:val="17"/>
                <w:szCs w:val="17"/>
                <w:color w:val="auto"/>
              </w:rPr>
            </w:pPr>
          </w:p>
        </w:tc>
        <w:tc>
          <w:tcPr>
            <w:tcW w:w="4920" w:type="dxa"/>
            <w:vAlign w:val="bottom"/>
            <w:gridSpan w:val="2"/>
          </w:tcPr>
          <w:p>
            <w:pPr>
              <w:jc w:val="center"/>
              <w:ind w:right="182"/>
              <w:spacing w:after="0"/>
              <w:rPr>
                <w:sz w:val="20"/>
                <w:szCs w:val="20"/>
                <w:color w:val="auto"/>
              </w:rPr>
            </w:pPr>
            <w:r>
              <w:rPr>
                <w:rFonts w:ascii="Arial" w:cs="Arial" w:eastAsia="Arial" w:hAnsi="Arial"/>
                <w:sz w:val="16"/>
                <w:szCs w:val="16"/>
                <w:i w:val="1"/>
                <w:iCs w:val="1"/>
                <w:color w:val="auto"/>
                <w:w w:val="90"/>
              </w:rPr>
              <w:t>(I.R.S. Employer Identification No.)</w:t>
            </w:r>
          </w:p>
        </w:tc>
      </w:tr>
      <w:tr>
        <w:trPr>
          <w:trHeight w:val="207"/>
        </w:trPr>
        <w:tc>
          <w:tcPr>
            <w:tcW w:w="2540" w:type="dxa"/>
            <w:vAlign w:val="bottom"/>
          </w:tcPr>
          <w:p>
            <w:pPr>
              <w:ind w:left="1360"/>
              <w:spacing w:after="0"/>
              <w:rPr>
                <w:sz w:val="20"/>
                <w:szCs w:val="20"/>
                <w:color w:val="auto"/>
              </w:rPr>
            </w:pPr>
            <w:r>
              <w:rPr>
                <w:rFonts w:ascii="Arial" w:cs="Arial" w:eastAsia="Arial" w:hAnsi="Arial"/>
                <w:sz w:val="16"/>
                <w:szCs w:val="16"/>
                <w:b w:val="1"/>
                <w:bCs w:val="1"/>
                <w:color w:val="auto"/>
                <w:w w:val="85"/>
              </w:rPr>
              <w:t>3000 Lakeside Dr.</w:t>
            </w:r>
          </w:p>
        </w:tc>
        <w:tc>
          <w:tcPr>
            <w:tcW w:w="1260" w:type="dxa"/>
            <w:vAlign w:val="bottom"/>
          </w:tcPr>
          <w:p>
            <w:pPr>
              <w:ind w:left="300"/>
              <w:spacing w:after="0"/>
              <w:rPr>
                <w:sz w:val="20"/>
                <w:szCs w:val="20"/>
                <w:color w:val="auto"/>
              </w:rPr>
            </w:pPr>
            <w:r>
              <w:rPr>
                <w:rFonts w:ascii="Arial" w:cs="Arial" w:eastAsia="Arial" w:hAnsi="Arial"/>
                <w:sz w:val="16"/>
                <w:szCs w:val="16"/>
                <w:b w:val="1"/>
                <w:bCs w:val="1"/>
                <w:color w:val="auto"/>
              </w:rPr>
              <w:t>Suite 300N,</w:t>
            </w: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w w:val="98"/>
              </w:rPr>
              <w:t>Bannockburn,</w:t>
            </w:r>
          </w:p>
        </w:tc>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IL</w:t>
            </w:r>
          </w:p>
        </w:tc>
        <w:tc>
          <w:tcPr>
            <w:tcW w:w="1520" w:type="dxa"/>
            <w:vAlign w:val="bottom"/>
          </w:tcPr>
          <w:p>
            <w:pPr>
              <w:spacing w:after="0"/>
              <w:rPr>
                <w:sz w:val="17"/>
                <w:szCs w:val="17"/>
                <w:color w:val="auto"/>
              </w:rPr>
            </w:pPr>
          </w:p>
        </w:tc>
        <w:tc>
          <w:tcPr>
            <w:tcW w:w="3400" w:type="dxa"/>
            <w:vAlign w:val="bottom"/>
          </w:tcPr>
          <w:p>
            <w:pPr>
              <w:jc w:val="right"/>
              <w:ind w:right="2322"/>
              <w:spacing w:after="0"/>
              <w:rPr>
                <w:sz w:val="20"/>
                <w:szCs w:val="20"/>
                <w:color w:val="auto"/>
              </w:rPr>
            </w:pPr>
            <w:r>
              <w:rPr>
                <w:rFonts w:ascii="Arial" w:cs="Arial" w:eastAsia="Arial" w:hAnsi="Arial"/>
                <w:sz w:val="16"/>
                <w:szCs w:val="16"/>
                <w:b w:val="1"/>
                <w:bCs w:val="1"/>
                <w:color w:val="auto"/>
              </w:rPr>
              <w:t>60015</w:t>
            </w:r>
          </w:p>
        </w:tc>
      </w:tr>
      <w:tr>
        <w:trPr>
          <w:trHeight w:val="207"/>
        </w:trPr>
        <w:tc>
          <w:tcPr>
            <w:tcW w:w="5020" w:type="dxa"/>
            <w:vAlign w:val="bottom"/>
            <w:gridSpan w:val="3"/>
          </w:tcPr>
          <w:p>
            <w:pPr>
              <w:jc w:val="center"/>
              <w:ind w:left="1482"/>
              <w:spacing w:after="0"/>
              <w:rPr>
                <w:sz w:val="20"/>
                <w:szCs w:val="20"/>
                <w:color w:val="auto"/>
              </w:rPr>
            </w:pPr>
            <w:r>
              <w:rPr>
                <w:rFonts w:ascii="Arial" w:cs="Arial" w:eastAsia="Arial" w:hAnsi="Arial"/>
                <w:sz w:val="16"/>
                <w:szCs w:val="16"/>
                <w:i w:val="1"/>
                <w:iCs w:val="1"/>
                <w:color w:val="auto"/>
                <w:w w:val="88"/>
              </w:rPr>
              <w:t>(Address of principal executive offices)</w:t>
            </w: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0" w:type="dxa"/>
            <w:vAlign w:val="bottom"/>
          </w:tcPr>
          <w:p>
            <w:pPr>
              <w:jc w:val="center"/>
              <w:ind w:right="1722"/>
              <w:spacing w:after="0"/>
              <w:rPr>
                <w:sz w:val="20"/>
                <w:szCs w:val="20"/>
                <w:color w:val="auto"/>
              </w:rPr>
            </w:pPr>
            <w:r>
              <w:rPr>
                <w:rFonts w:ascii="Arial" w:cs="Arial" w:eastAsia="Arial" w:hAnsi="Arial"/>
                <w:sz w:val="16"/>
                <w:szCs w:val="16"/>
                <w:i w:val="1"/>
                <w:iCs w:val="1"/>
                <w:color w:val="auto"/>
                <w:w w:val="89"/>
              </w:rPr>
              <w:t>(Zip Code)</w:t>
            </w:r>
          </w:p>
        </w:tc>
      </w:tr>
      <w:tr>
        <w:trPr>
          <w:trHeight w:val="263"/>
        </w:trPr>
        <w:tc>
          <w:tcPr>
            <w:tcW w:w="2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40" w:type="dxa"/>
            <w:vAlign w:val="bottom"/>
            <w:gridSpan w:val="3"/>
          </w:tcPr>
          <w:p>
            <w:pPr>
              <w:ind w:left="80"/>
              <w:spacing w:after="0"/>
              <w:rPr>
                <w:sz w:val="20"/>
                <w:szCs w:val="20"/>
                <w:color w:val="auto"/>
              </w:rPr>
            </w:pPr>
            <w:r>
              <w:rPr>
                <w:rFonts w:ascii="Arial" w:cs="Arial" w:eastAsia="Arial" w:hAnsi="Arial"/>
                <w:sz w:val="16"/>
                <w:szCs w:val="16"/>
                <w:b w:val="1"/>
                <w:bCs w:val="1"/>
                <w:color w:val="auto"/>
                <w:w w:val="97"/>
              </w:rPr>
              <w:t>Registrant’s telephone number, including area code:</w:t>
            </w:r>
          </w:p>
        </w:tc>
        <w:tc>
          <w:tcPr>
            <w:tcW w:w="3400" w:type="dxa"/>
            <w:vAlign w:val="bottom"/>
          </w:tcPr>
          <w:p>
            <w:pPr>
              <w:spacing w:after="0"/>
              <w:rPr>
                <w:sz w:val="22"/>
                <w:szCs w:val="22"/>
                <w:color w:val="auto"/>
              </w:rPr>
            </w:pPr>
          </w:p>
        </w:tc>
      </w:tr>
      <w:tr>
        <w:trPr>
          <w:trHeight w:val="202"/>
        </w:trPr>
        <w:tc>
          <w:tcPr>
            <w:tcW w:w="2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312-940-2443</w:t>
            </w:r>
          </w:p>
        </w:tc>
        <w:tc>
          <w:tcPr>
            <w:tcW w:w="152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20"/>
        </w:trPr>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40" w:type="dxa"/>
            <w:vAlign w:val="bottom"/>
            <w:gridSpan w:val="3"/>
          </w:tcPr>
          <w:p>
            <w:pPr>
              <w:ind w:left="1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3400" w:type="dxa"/>
            <w:vAlign w:val="bottom"/>
          </w:tcPr>
          <w:p>
            <w:pPr>
              <w:spacing w:after="0"/>
              <w:rPr>
                <w:sz w:val="19"/>
                <w:szCs w:val="19"/>
                <w:color w:val="auto"/>
              </w:rPr>
            </w:pPr>
          </w:p>
        </w:tc>
      </w:tr>
      <w:tr>
        <w:trPr>
          <w:trHeight w:val="148"/>
        </w:trPr>
        <w:tc>
          <w:tcPr>
            <w:tcW w:w="2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spacing w:after="0"/>
              <w:rPr>
                <w:sz w:val="12"/>
                <w:szCs w:val="12"/>
                <w:color w:val="auto"/>
              </w:rPr>
            </w:pPr>
          </w:p>
        </w:tc>
      </w:tr>
      <w:tr>
        <w:trPr>
          <w:trHeight w:val="197"/>
        </w:trPr>
        <w:tc>
          <w:tcPr>
            <w:tcW w:w="2540" w:type="dxa"/>
            <w:vAlign w:val="bottom"/>
            <w:tcBorders>
              <w:left w:val="single" w:sz="8" w:color="auto"/>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122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5020" w:type="dxa"/>
            <w:vAlign w:val="bottom"/>
            <w:tcBorders>
              <w:left w:val="single" w:sz="8" w:color="auto"/>
              <w:bottom w:val="single" w:sz="8" w:color="auto"/>
            </w:tcBorders>
            <w:gridSpan w:val="3"/>
          </w:tcPr>
          <w:p>
            <w:pPr>
              <w:jc w:val="center"/>
              <w:ind w:left="1222"/>
              <w:spacing w:after="0"/>
              <w:rPr>
                <w:sz w:val="20"/>
                <w:szCs w:val="20"/>
                <w:color w:val="auto"/>
              </w:rPr>
            </w:pPr>
            <w:r>
              <w:rPr>
                <w:rFonts w:ascii="Arial" w:cs="Arial" w:eastAsia="Arial" w:hAnsi="Arial"/>
                <w:sz w:val="16"/>
                <w:szCs w:val="16"/>
                <w:color w:val="auto"/>
                <w:w w:val="86"/>
              </w:rPr>
              <w:t>Common Stock, $0.0001 par value per share</w:t>
            </w: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OPCH</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Nasdaq Global Select Market</w:t>
            </w:r>
          </w:p>
        </w:tc>
      </w:tr>
    </w:tbl>
    <w:p>
      <w:pPr>
        <w:spacing w:after="0" w:line="70" w:lineRule="exact"/>
        <w:rPr>
          <w:sz w:val="24"/>
          <w:szCs w:val="24"/>
          <w:color w:val="auto"/>
        </w:rPr>
      </w:pPr>
    </w:p>
    <w:p>
      <w:pPr>
        <w:ind w:firstLine="155"/>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jc w:val="both"/>
        <w:ind w:firstLine="155"/>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jc w:val="both"/>
        <w:ind w:firstLine="155"/>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7" w:lineRule="exact"/>
        <w:rPr>
          <w:sz w:val="24"/>
          <w:szCs w:val="24"/>
          <w:color w:val="auto"/>
        </w:rPr>
      </w:pPr>
    </w:p>
    <w:p>
      <w:pPr>
        <w:jc w:val="center"/>
        <w:ind w:right="-159"/>
        <w:spacing w:after="0" w:line="184" w:lineRule="exact"/>
        <w:tabs>
          <w:tab w:leader="none" w:pos="180" w:val="left"/>
          <w:tab w:leader="none" w:pos="180" w:val="left"/>
          <w:tab w:leader="none" w:pos="2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59" w:lineRule="exact"/>
        <w:rPr>
          <w:sz w:val="24"/>
          <w:szCs w:val="24"/>
          <w:color w:val="auto"/>
        </w:rPr>
      </w:pPr>
    </w:p>
    <w:p>
      <w:pPr>
        <w:jc w:val="both"/>
        <w:ind w:firstLine="155"/>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ind w:left="160"/>
        <w:spacing w:after="0" w:line="161" w:lineRule="exact"/>
        <w:tabs>
          <w:tab w:leader="none" w:pos="78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ind w:left="160"/>
        <w:spacing w:after="0"/>
        <w:rPr>
          <w:sz w:val="20"/>
          <w:szCs w:val="20"/>
          <w:color w:val="auto"/>
        </w:rPr>
      </w:pPr>
      <w:r>
        <w:rPr>
          <w:rFonts w:ascii="Arial" w:cs="Arial" w:eastAsia="Arial" w:hAnsi="Arial"/>
          <w:sz w:val="16"/>
          <w:szCs w:val="16"/>
          <w:color w:val="auto"/>
        </w:rPr>
        <w:t>On April 26, 2022, there were 180,052,037 shares of the registrant’s Common Stock outstanding.</w:t>
      </w:r>
    </w:p>
    <w:p>
      <w:pPr>
        <w:sectPr>
          <w:pgSz w:w="11900" w:h="16838" w:orient="portrait"/>
          <w:cols w:equalWidth="0" w:num="1">
            <w:col w:w="11240"/>
          </w:cols>
          <w:pgMar w:left="320" w:top="12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5"/>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80" w:type="dxa"/>
            <w:vAlign w:val="bottom"/>
            <w:gridSpan w:val="7"/>
          </w:tcPr>
          <w:p>
            <w:pPr>
              <w:jc w:val="center"/>
              <w:ind w:right="1680"/>
              <w:spacing w:after="0"/>
              <w:rPr>
                <w:sz w:val="20"/>
                <w:szCs w:val="20"/>
                <w:color w:val="auto"/>
              </w:rPr>
            </w:pPr>
            <w:r>
              <w:rPr>
                <w:rFonts w:ascii="Arial" w:cs="Arial" w:eastAsia="Arial" w:hAnsi="Arial"/>
                <w:sz w:val="17"/>
                <w:szCs w:val="17"/>
                <w:b w:val="1"/>
                <w:bCs w:val="1"/>
                <w:color w:val="auto"/>
              </w:rPr>
              <w:t>TABLE OF CONTENTS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91"/>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0" w:type="dxa"/>
            <w:vAlign w:val="bottom"/>
            <w:gridSpan w:val="3"/>
          </w:tcPr>
          <w:p>
            <w:pPr>
              <w:jc w:val="center"/>
              <w:ind w:left="1562"/>
              <w:spacing w:after="0"/>
              <w:rPr>
                <w:sz w:val="20"/>
                <w:szCs w:val="20"/>
                <w:color w:val="auto"/>
              </w:rPr>
            </w:pPr>
            <w:r>
              <w:rPr>
                <w:rFonts w:ascii="Arial" w:cs="Arial" w:eastAsia="Arial" w:hAnsi="Arial"/>
                <w:sz w:val="16"/>
                <w:szCs w:val="16"/>
                <w:b w:val="1"/>
                <w:bCs w:val="1"/>
                <w:color w:val="auto"/>
                <w:w w:val="83"/>
              </w:rPr>
              <w:t>Page</w:t>
            </w:r>
          </w:p>
        </w:tc>
      </w:tr>
      <w:tr>
        <w:trPr>
          <w:trHeight w:val="202"/>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gridSpan w:val="3"/>
          </w:tcPr>
          <w:p>
            <w:pPr>
              <w:jc w:val="center"/>
              <w:ind w:left="1582"/>
              <w:spacing w:after="0"/>
              <w:rPr>
                <w:sz w:val="20"/>
                <w:szCs w:val="20"/>
                <w:color w:val="auto"/>
              </w:rPr>
            </w:pPr>
            <w:r>
              <w:rPr>
                <w:rFonts w:ascii="Arial" w:cs="Arial" w:eastAsia="Arial" w:hAnsi="Arial"/>
                <w:sz w:val="16"/>
                <w:szCs w:val="16"/>
                <w:b w:val="1"/>
                <w:bCs w:val="1"/>
                <w:color w:val="auto"/>
                <w:w w:val="89"/>
              </w:rPr>
              <w:t>Number</w:t>
            </w:r>
          </w:p>
        </w:tc>
      </w:tr>
      <w:tr>
        <w:trPr>
          <w:trHeight w:val="206"/>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40" w:type="dxa"/>
            <w:vAlign w:val="bottom"/>
            <w:gridSpan w:val="6"/>
          </w:tcPr>
          <w:p>
            <w:pPr>
              <w:jc w:val="center"/>
              <w:ind w:right="2940"/>
              <w:spacing w:after="0"/>
              <w:rPr>
                <w:sz w:val="20"/>
                <w:szCs w:val="20"/>
                <w:color w:val="auto"/>
              </w:rPr>
            </w:pPr>
            <w:r>
              <w:rPr>
                <w:rFonts w:ascii="Arial" w:cs="Arial" w:eastAsia="Arial" w:hAnsi="Arial"/>
                <w:sz w:val="16"/>
                <w:szCs w:val="16"/>
                <w:b w:val="1"/>
                <w:bCs w:val="1"/>
                <w:color w:val="auto"/>
                <w:w w:val="95"/>
              </w:rPr>
              <w:t>PART I</w:t>
            </w: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29"/>
        </w:trPr>
        <w:tc>
          <w:tcPr>
            <w:tcW w:w="440" w:type="dxa"/>
            <w:vAlign w:val="bottom"/>
          </w:tcPr>
          <w:p>
            <w:pPr>
              <w:spacing w:after="0"/>
              <w:rPr>
                <w:rFonts w:ascii="Arial" w:cs="Arial" w:eastAsia="Arial" w:hAnsi="Arial"/>
                <w:sz w:val="16"/>
                <w:szCs w:val="16"/>
                <w:color w:val="0000FF"/>
                <w:w w:val="85"/>
              </w:rPr>
            </w:pPr>
            <w:hyperlink w:anchor="page3">
              <w:r>
                <w:rPr>
                  <w:rFonts w:ascii="Arial" w:cs="Arial" w:eastAsia="Arial" w:hAnsi="Arial"/>
                  <w:sz w:val="16"/>
                  <w:szCs w:val="16"/>
                  <w:color w:val="0000FF"/>
                  <w:w w:val="85"/>
                </w:rPr>
                <w:t>Item 1.</w:t>
              </w:r>
            </w:hyperlink>
          </w:p>
        </w:tc>
        <w:tc>
          <w:tcPr>
            <w:tcW w:w="1140" w:type="dxa"/>
            <w:vAlign w:val="bottom"/>
            <w:gridSpan w:val="3"/>
          </w:tcPr>
          <w:p>
            <w:pPr>
              <w:spacing w:after="0"/>
              <w:rPr>
                <w:sz w:val="24"/>
                <w:szCs w:val="24"/>
                <w:color w:val="auto"/>
              </w:rPr>
            </w:pPr>
          </w:p>
        </w:tc>
        <w:tc>
          <w:tcPr>
            <w:tcW w:w="1300" w:type="dxa"/>
            <w:vAlign w:val="bottom"/>
            <w:gridSpan w:val="4"/>
          </w:tcPr>
          <w:p>
            <w:pPr>
              <w:spacing w:after="0"/>
              <w:rPr>
                <w:rFonts w:ascii="Arial" w:cs="Arial" w:eastAsia="Arial" w:hAnsi="Arial"/>
                <w:sz w:val="16"/>
                <w:szCs w:val="16"/>
                <w:color w:val="0000FF"/>
                <w:w w:val="85"/>
              </w:rPr>
            </w:pPr>
            <w:hyperlink w:anchor="page3">
              <w:r>
                <w:rPr>
                  <w:rFonts w:ascii="Arial" w:cs="Arial" w:eastAsia="Arial" w:hAnsi="Arial"/>
                  <w:sz w:val="16"/>
                  <w:szCs w:val="16"/>
                  <w:color w:val="0000FF"/>
                  <w:w w:val="85"/>
                </w:rPr>
                <w:t>Financial Statements</w:t>
              </w:r>
            </w:hyperlink>
          </w:p>
        </w:tc>
        <w:tc>
          <w:tcPr>
            <w:tcW w:w="5900" w:type="dxa"/>
            <w:vAlign w:val="bottom"/>
            <w:gridSpan w:val="9"/>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24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0" w:type="dxa"/>
            <w:vAlign w:val="bottom"/>
            <w:gridSpan w:val="1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w:t>
              </w:r>
            </w:hyperlink>
          </w:p>
        </w:tc>
        <w:tc>
          <w:tcPr>
            <w:tcW w:w="1960" w:type="dxa"/>
            <w:vAlign w:val="bottom"/>
            <w:gridSpan w:val="2"/>
          </w:tcPr>
          <w:p>
            <w:pPr>
              <w:jc w:val="center"/>
              <w:ind w:left="1802"/>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5</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color w:val="0000FF"/>
                <w:w w:val="95"/>
              </w:rPr>
            </w:pPr>
            <w:hyperlink w:anchor="page4">
              <w:r>
                <w:rPr>
                  <w:rFonts w:ascii="Arial" w:cs="Arial" w:eastAsia="Arial" w:hAnsi="Arial"/>
                  <w:sz w:val="16"/>
                  <w:szCs w:val="16"/>
                  <w:color w:val="0000FF"/>
                  <w:w w:val="95"/>
                </w:rPr>
                <w:t>Unaudited Condensed Consolidated Statements of Comprehensive Income (Loss)</w:t>
              </w:r>
            </w:hyperlink>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6</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Unaudited Condensed Consolidated Statements of Cash Flows</w:t>
              </w:r>
            </w:hyperlink>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7</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Statements of Stockholders’ Equity</w:t>
              </w:r>
            </w:hyperlink>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8</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Unaudited Condensed Consolidated Financial Statements</w:t>
              </w:r>
            </w:hyperlink>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9</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21">
              <w:r>
                <w:rPr>
                  <w:rFonts w:ascii="Arial" w:cs="Arial" w:eastAsia="Arial" w:hAnsi="Arial"/>
                  <w:sz w:val="16"/>
                  <w:szCs w:val="16"/>
                  <w:color w:val="0000FF"/>
                  <w:w w:val="85"/>
                </w:rPr>
                <w:t>Item 2.</w:t>
              </w:r>
            </w:hyperlink>
          </w:p>
        </w:tc>
        <w:tc>
          <w:tcPr>
            <w:tcW w:w="1140" w:type="dxa"/>
            <w:vAlign w:val="bottom"/>
            <w:gridSpan w:val="3"/>
          </w:tcPr>
          <w:p>
            <w:pPr>
              <w:spacing w:after="0"/>
              <w:rPr>
                <w:sz w:val="16"/>
                <w:szCs w:val="16"/>
                <w:color w:val="auto"/>
              </w:rPr>
            </w:pPr>
          </w:p>
        </w:tc>
        <w:tc>
          <w:tcPr>
            <w:tcW w:w="7200" w:type="dxa"/>
            <w:vAlign w:val="bottom"/>
            <w:gridSpan w:val="13"/>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Management’s Discussion and Analysis of Financial Condition and Results of Operations</w:t>
              </w:r>
            </w:hyperlink>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21">
              <w:r>
                <w:rPr>
                  <w:rFonts w:ascii="Arial" w:cs="Arial" w:eastAsia="Arial" w:hAnsi="Arial"/>
                  <w:sz w:val="16"/>
                  <w:szCs w:val="16"/>
                  <w:color w:val="0000FF"/>
                  <w:w w:val="78"/>
                </w:rPr>
                <w:t>23</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0">
              <w:r>
                <w:rPr>
                  <w:rFonts w:ascii="Arial" w:cs="Arial" w:eastAsia="Arial" w:hAnsi="Arial"/>
                  <w:sz w:val="16"/>
                  <w:szCs w:val="16"/>
                  <w:color w:val="0000FF"/>
                  <w:w w:val="85"/>
                </w:rPr>
                <w:t>Item 3.</w:t>
              </w:r>
            </w:hyperlink>
          </w:p>
        </w:tc>
        <w:tc>
          <w:tcPr>
            <w:tcW w:w="1140" w:type="dxa"/>
            <w:vAlign w:val="bottom"/>
            <w:gridSpan w:val="3"/>
          </w:tcPr>
          <w:p>
            <w:pPr>
              <w:spacing w:after="0"/>
              <w:rPr>
                <w:sz w:val="16"/>
                <w:szCs w:val="16"/>
                <w:color w:val="auto"/>
              </w:rPr>
            </w:pPr>
          </w:p>
        </w:tc>
        <w:tc>
          <w:tcPr>
            <w:tcW w:w="3760" w:type="dxa"/>
            <w:vAlign w:val="bottom"/>
            <w:gridSpan w:val="7"/>
          </w:tcPr>
          <w:p>
            <w:pPr>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Quantitative and Qualitative Disclosures About Market Risk</w:t>
              </w:r>
            </w:hyperlink>
          </w:p>
        </w:tc>
        <w:tc>
          <w:tcPr>
            <w:tcW w:w="1800" w:type="dxa"/>
            <w:vAlign w:val="bottom"/>
            <w:gridSpan w:val="5"/>
          </w:tcPr>
          <w:p>
            <w:pPr>
              <w:spacing w:after="0"/>
              <w:rPr>
                <w:sz w:val="16"/>
                <w:szCs w:val="16"/>
                <w:color w:val="auto"/>
              </w:rPr>
            </w:pPr>
          </w:p>
        </w:tc>
        <w:tc>
          <w:tcPr>
            <w:tcW w:w="1640" w:type="dxa"/>
            <w:vAlign w:val="bottom"/>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0">
              <w:r>
                <w:rPr>
                  <w:rFonts w:ascii="Arial" w:cs="Arial" w:eastAsia="Arial" w:hAnsi="Arial"/>
                  <w:sz w:val="16"/>
                  <w:szCs w:val="16"/>
                  <w:color w:val="0000FF"/>
                  <w:w w:val="78"/>
                </w:rPr>
                <w:t>32</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1">
              <w:r>
                <w:rPr>
                  <w:rFonts w:ascii="Arial" w:cs="Arial" w:eastAsia="Arial" w:hAnsi="Arial"/>
                  <w:sz w:val="16"/>
                  <w:szCs w:val="16"/>
                  <w:color w:val="0000FF"/>
                  <w:w w:val="85"/>
                </w:rPr>
                <w:t>Item 4.</w:t>
              </w:r>
            </w:hyperlink>
          </w:p>
        </w:tc>
        <w:tc>
          <w:tcPr>
            <w:tcW w:w="1140" w:type="dxa"/>
            <w:vAlign w:val="bottom"/>
            <w:gridSpan w:val="3"/>
          </w:tcPr>
          <w:p>
            <w:pPr>
              <w:spacing w:after="0"/>
              <w:rPr>
                <w:sz w:val="16"/>
                <w:szCs w:val="16"/>
                <w:color w:val="auto"/>
              </w:rPr>
            </w:pPr>
          </w:p>
        </w:tc>
        <w:tc>
          <w:tcPr>
            <w:tcW w:w="3760" w:type="dxa"/>
            <w:vAlign w:val="bottom"/>
            <w:gridSpan w:val="7"/>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Controls and Procedures</w:t>
              </w:r>
            </w:hyperlink>
          </w:p>
        </w:tc>
        <w:tc>
          <w:tcPr>
            <w:tcW w:w="3440" w:type="dxa"/>
            <w:vAlign w:val="bottom"/>
            <w:gridSpan w:val="6"/>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1">
              <w:r>
                <w:rPr>
                  <w:rFonts w:ascii="Arial" w:cs="Arial" w:eastAsia="Arial" w:hAnsi="Arial"/>
                  <w:sz w:val="16"/>
                  <w:szCs w:val="16"/>
                  <w:color w:val="0000FF"/>
                  <w:w w:val="78"/>
                </w:rPr>
                <w:t>32</w:t>
              </w:r>
            </w:hyperlink>
          </w:p>
        </w:tc>
      </w:tr>
      <w:tr>
        <w:trPr>
          <w:trHeight w:val="375"/>
        </w:trPr>
        <w:tc>
          <w:tcPr>
            <w:tcW w:w="4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4680" w:type="dxa"/>
            <w:vAlign w:val="bottom"/>
            <w:gridSpan w:val="7"/>
          </w:tcPr>
          <w:p>
            <w:pPr>
              <w:ind w:left="1180"/>
              <w:spacing w:after="0"/>
              <w:rPr>
                <w:sz w:val="20"/>
                <w:szCs w:val="20"/>
                <w:color w:val="auto"/>
              </w:rPr>
            </w:pPr>
            <w:r>
              <w:rPr>
                <w:rFonts w:ascii="Arial" w:cs="Arial" w:eastAsia="Arial" w:hAnsi="Arial"/>
                <w:sz w:val="16"/>
                <w:szCs w:val="16"/>
                <w:b w:val="1"/>
                <w:bCs w:val="1"/>
                <w:color w:val="auto"/>
              </w:rPr>
              <w:t>PART II</w:t>
            </w:r>
          </w:p>
        </w:tc>
        <w:tc>
          <w:tcPr>
            <w:tcW w:w="18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29"/>
        </w:trPr>
        <w:tc>
          <w:tcPr>
            <w:tcW w:w="440" w:type="dxa"/>
            <w:vAlign w:val="bottom"/>
          </w:tcPr>
          <w:p>
            <w:pPr>
              <w:spacing w:after="0"/>
              <w:rPr>
                <w:rFonts w:ascii="Arial" w:cs="Arial" w:eastAsia="Arial" w:hAnsi="Arial"/>
                <w:sz w:val="16"/>
                <w:szCs w:val="16"/>
                <w:color w:val="0000FF"/>
                <w:w w:val="85"/>
              </w:rPr>
            </w:pPr>
            <w:hyperlink w:anchor="page32">
              <w:r>
                <w:rPr>
                  <w:rFonts w:ascii="Arial" w:cs="Arial" w:eastAsia="Arial" w:hAnsi="Arial"/>
                  <w:sz w:val="16"/>
                  <w:szCs w:val="16"/>
                  <w:color w:val="0000FF"/>
                  <w:w w:val="85"/>
                </w:rPr>
                <w:t>Item 1.</w:t>
              </w:r>
            </w:hyperlink>
          </w:p>
        </w:tc>
        <w:tc>
          <w:tcPr>
            <w:tcW w:w="1140" w:type="dxa"/>
            <w:vAlign w:val="bottom"/>
            <w:gridSpan w:val="3"/>
          </w:tcPr>
          <w:p>
            <w:pPr>
              <w:spacing w:after="0"/>
              <w:rPr>
                <w:sz w:val="24"/>
                <w:szCs w:val="24"/>
                <w:color w:val="auto"/>
              </w:rPr>
            </w:pPr>
          </w:p>
        </w:tc>
        <w:tc>
          <w:tcPr>
            <w:tcW w:w="7200" w:type="dxa"/>
            <w:vAlign w:val="bottom"/>
            <w:gridSpan w:val="13"/>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Legal Proceedings</w:t>
              </w:r>
            </w:hyperlink>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2">
              <w:r>
                <w:rPr>
                  <w:rFonts w:ascii="Arial" w:cs="Arial" w:eastAsia="Arial" w:hAnsi="Arial"/>
                  <w:sz w:val="16"/>
                  <w:szCs w:val="16"/>
                  <w:color w:val="0000FF"/>
                  <w:w w:val="78"/>
                </w:rPr>
                <w:t>33</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560" w:type="dxa"/>
            <w:vAlign w:val="bottom"/>
            <w:gridSpan w:val="2"/>
          </w:tcPr>
          <w:p>
            <w:pPr>
              <w:spacing w:after="0"/>
              <w:rPr>
                <w:rFonts w:ascii="Arial" w:cs="Arial" w:eastAsia="Arial" w:hAnsi="Arial"/>
                <w:sz w:val="16"/>
                <w:szCs w:val="16"/>
                <w:color w:val="0000FF"/>
                <w:w w:val="90"/>
              </w:rPr>
            </w:pPr>
            <w:hyperlink w:anchor="page32">
              <w:r>
                <w:rPr>
                  <w:rFonts w:ascii="Arial" w:cs="Arial" w:eastAsia="Arial" w:hAnsi="Arial"/>
                  <w:sz w:val="16"/>
                  <w:szCs w:val="16"/>
                  <w:color w:val="0000FF"/>
                  <w:w w:val="90"/>
                </w:rPr>
                <w:t>Item 1A.</w:t>
              </w:r>
            </w:hyperlink>
          </w:p>
        </w:tc>
        <w:tc>
          <w:tcPr>
            <w:tcW w:w="1020" w:type="dxa"/>
            <w:vAlign w:val="bottom"/>
            <w:gridSpan w:val="2"/>
          </w:tcPr>
          <w:p>
            <w:pPr>
              <w:spacing w:after="0"/>
              <w:rPr>
                <w:sz w:val="16"/>
                <w:szCs w:val="16"/>
                <w:color w:val="auto"/>
              </w:rPr>
            </w:pPr>
          </w:p>
        </w:tc>
        <w:tc>
          <w:tcPr>
            <w:tcW w:w="780" w:type="dxa"/>
            <w:vAlign w:val="bottom"/>
            <w:gridSpan w:val="2"/>
          </w:tcPr>
          <w:p>
            <w:pPr>
              <w:spacing w:after="0"/>
              <w:rPr>
                <w:rFonts w:ascii="Arial" w:cs="Arial" w:eastAsia="Arial" w:hAnsi="Arial"/>
                <w:sz w:val="16"/>
                <w:szCs w:val="16"/>
                <w:color w:val="0000FF"/>
                <w:w w:val="85"/>
              </w:rPr>
            </w:pPr>
            <w:hyperlink w:anchor="page32">
              <w:r>
                <w:rPr>
                  <w:rFonts w:ascii="Arial" w:cs="Arial" w:eastAsia="Arial" w:hAnsi="Arial"/>
                  <w:sz w:val="16"/>
                  <w:szCs w:val="16"/>
                  <w:color w:val="0000FF"/>
                  <w:w w:val="85"/>
                </w:rPr>
                <w:t>Risk Factors</w:t>
              </w:r>
            </w:hyperlink>
          </w:p>
        </w:tc>
        <w:tc>
          <w:tcPr>
            <w:tcW w:w="6420" w:type="dxa"/>
            <w:vAlign w:val="bottom"/>
            <w:gridSpan w:val="11"/>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2">
              <w:r>
                <w:rPr>
                  <w:rFonts w:ascii="Arial" w:cs="Arial" w:eastAsia="Arial" w:hAnsi="Arial"/>
                  <w:sz w:val="16"/>
                  <w:szCs w:val="16"/>
                  <w:color w:val="0000FF"/>
                  <w:w w:val="78"/>
                </w:rPr>
                <w:t>33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2">
              <w:r>
                <w:rPr>
                  <w:rFonts w:ascii="Arial" w:cs="Arial" w:eastAsia="Arial" w:hAnsi="Arial"/>
                  <w:sz w:val="16"/>
                  <w:szCs w:val="16"/>
                  <w:color w:val="0000FF"/>
                  <w:w w:val="85"/>
                </w:rPr>
                <w:t>Item 6.</w:t>
              </w:r>
            </w:hyperlink>
          </w:p>
        </w:tc>
        <w:tc>
          <w:tcPr>
            <w:tcW w:w="12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520" w:type="dxa"/>
            <w:vAlign w:val="bottom"/>
          </w:tcPr>
          <w:p>
            <w:pPr>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Exhibits</w:t>
              </w:r>
            </w:hyperlink>
          </w:p>
        </w:tc>
        <w:tc>
          <w:tcPr>
            <w:tcW w:w="260" w:type="dxa"/>
            <w:vAlign w:val="bottom"/>
          </w:tcPr>
          <w:p>
            <w:pPr>
              <w:spacing w:after="0"/>
              <w:rPr>
                <w:sz w:val="16"/>
                <w:szCs w:val="16"/>
                <w:color w:val="auto"/>
              </w:rPr>
            </w:pPr>
          </w:p>
        </w:tc>
        <w:tc>
          <w:tcPr>
            <w:tcW w:w="6420" w:type="dxa"/>
            <w:vAlign w:val="bottom"/>
            <w:gridSpan w:val="11"/>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2">
              <w:r>
                <w:rPr>
                  <w:rFonts w:ascii="Arial" w:cs="Arial" w:eastAsia="Arial" w:hAnsi="Arial"/>
                  <w:sz w:val="16"/>
                  <w:szCs w:val="16"/>
                  <w:color w:val="0000FF"/>
                  <w:w w:val="78"/>
                </w:rPr>
                <w:t>33</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42"/>
        </w:trPr>
        <w:tc>
          <w:tcPr>
            <w:tcW w:w="1580" w:type="dxa"/>
            <w:vAlign w:val="bottom"/>
            <w:gridSpan w:val="4"/>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SIGNATURES</w:t>
              </w:r>
            </w:hyperlink>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2">
              <w:r>
                <w:rPr>
                  <w:rFonts w:ascii="Arial" w:cs="Arial" w:eastAsia="Arial" w:hAnsi="Arial"/>
                  <w:sz w:val="16"/>
                  <w:szCs w:val="16"/>
                  <w:color w:val="0000FF"/>
                  <w:w w:val="78"/>
                </w:rPr>
                <w:t>33</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80"/>
          </w:cols>
          <w:pgMar w:left="340" w:top="1142" w:right="5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PART I</w:t>
      </w:r>
    </w:p>
    <w:p>
      <w:pPr>
        <w:spacing w:after="0" w:line="30"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FINANCIAL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SHARES AND PER SHARE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(unaudited)</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March 31, 2022</w:t>
            </w:r>
          </w:p>
        </w:tc>
        <w:tc>
          <w:tcPr>
            <w:tcW w:w="180" w:type="dxa"/>
            <w:vAlign w:val="bottom"/>
          </w:tcPr>
          <w:p>
            <w:pPr>
              <w:spacing w:after="0"/>
              <w:rPr>
                <w:sz w:val="18"/>
                <w:szCs w:val="18"/>
                <w:color w:val="auto"/>
              </w:rPr>
            </w:pPr>
          </w:p>
        </w:tc>
        <w:tc>
          <w:tcPr>
            <w:tcW w:w="1640" w:type="dxa"/>
            <w:vAlign w:val="bottom"/>
          </w:tcPr>
          <w:p>
            <w:pPr>
              <w:jc w:val="right"/>
              <w:ind w:right="202"/>
              <w:spacing w:after="0"/>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190"/>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0" w:type="dxa"/>
            <w:vAlign w:val="bottom"/>
          </w:tcPr>
          <w:p>
            <w:pPr>
              <w:spacing w:after="0"/>
              <w:rPr>
                <w:sz w:val="1"/>
                <w:szCs w:val="1"/>
                <w:color w:val="auto"/>
              </w:rPr>
            </w:pPr>
          </w:p>
        </w:tc>
      </w:tr>
      <w:tr>
        <w:trPr>
          <w:trHeight w:val="204"/>
        </w:trPr>
        <w:tc>
          <w:tcPr>
            <w:tcW w:w="744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366,285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338,242</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183,095</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69,496</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805,712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710,256</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109,066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111,535</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74,777</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20,669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21,433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337,882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344,587</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1,478,500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1,477,564</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27,033</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23,733</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2,072,564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2,080,662</w:t>
            </w:r>
          </w:p>
        </w:tc>
        <w:tc>
          <w:tcPr>
            <w:tcW w:w="0" w:type="dxa"/>
            <w:vAlign w:val="bottom"/>
          </w:tcPr>
          <w:p>
            <w:pPr>
              <w:spacing w:after="0"/>
              <w:rPr>
                <w:sz w:val="1"/>
                <w:szCs w:val="1"/>
                <w:color w:val="auto"/>
              </w:rPr>
            </w:pPr>
          </w:p>
        </w:tc>
      </w:tr>
      <w:tr>
        <w:trPr>
          <w:trHeight w:val="202"/>
        </w:trPr>
        <w:tc>
          <w:tcPr>
            <w:tcW w:w="7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2,878,276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2,790,918</w:t>
            </w:r>
          </w:p>
        </w:tc>
        <w:tc>
          <w:tcPr>
            <w:tcW w:w="0" w:type="dxa"/>
            <w:vAlign w:val="bottom"/>
          </w:tcPr>
          <w:p>
            <w:pPr>
              <w:spacing w:after="0"/>
              <w:rPr>
                <w:sz w:val="1"/>
                <w:szCs w:val="1"/>
                <w:color w:val="auto"/>
              </w:rPr>
            </w:pPr>
          </w:p>
        </w:tc>
      </w:tr>
      <w:tr>
        <w:trPr>
          <w:trHeight w:val="38"/>
        </w:trPr>
        <w:tc>
          <w:tcPr>
            <w:tcW w:w="7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356,118</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279,246</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83,503</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85,286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71,857</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19,089</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508,139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459,695</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1,059,449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1,059,900</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74,492</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20,945</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1,148,373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1,155,337</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1,656,512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1,615,032</w:t>
            </w:r>
          </w:p>
        </w:tc>
        <w:tc>
          <w:tcPr>
            <w:tcW w:w="0" w:type="dxa"/>
            <w:vAlign w:val="bottom"/>
          </w:tcPr>
          <w:p>
            <w:pPr>
              <w:spacing w:after="0"/>
              <w:rPr>
                <w:sz w:val="1"/>
                <w:szCs w:val="1"/>
                <w:color w:val="auto"/>
              </w:rPr>
            </w:pPr>
          </w:p>
        </w:tc>
      </w:tr>
      <w:tr>
        <w:trPr>
          <w:trHeight w:val="204"/>
        </w:trPr>
        <w:tc>
          <w:tcPr>
            <w:tcW w:w="74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88"/>
              </w:rPr>
              <w:t>Preferred stock; $0.0001 par value; 12,500,000 shares authorized, no shares outstanding as of March 31, 2022 and</w:t>
            </w:r>
          </w:p>
        </w:tc>
        <w:tc>
          <w:tcPr>
            <w:tcW w:w="240" w:type="dxa"/>
            <w:vAlign w:val="bottom"/>
            <w:shd w:val="clear" w:color="auto" w:fill="CCEEFF"/>
          </w:tcPr>
          <w:p>
            <w:pPr>
              <w:spacing w:after="0"/>
              <w:rPr>
                <w:sz w:val="14"/>
                <w:szCs w:val="14"/>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9"/>
        </w:trPr>
        <w:tc>
          <w:tcPr>
            <w:tcW w:w="74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December 31, 2021, respectively</w:t>
            </w:r>
          </w:p>
        </w:tc>
        <w:tc>
          <w:tcPr>
            <w:tcW w:w="24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4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440" w:type="dxa"/>
            <w:vAlign w:val="bottom"/>
          </w:tcPr>
          <w:p>
            <w:pPr>
              <w:ind w:left="140"/>
              <w:spacing w:after="0" w:line="160" w:lineRule="exact"/>
              <w:rPr>
                <w:sz w:val="20"/>
                <w:szCs w:val="20"/>
                <w:color w:val="auto"/>
              </w:rPr>
            </w:pPr>
            <w:r>
              <w:rPr>
                <w:rFonts w:ascii="Arial" w:cs="Arial" w:eastAsia="Arial" w:hAnsi="Arial"/>
                <w:sz w:val="16"/>
                <w:szCs w:val="16"/>
                <w:color w:val="auto"/>
                <w:w w:val="91"/>
              </w:rPr>
              <w:t>Common stock; $0.0001 par value: 250,000,000 shares authorized, 180,429,758 shares issued and 180,046,036</w:t>
            </w: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40" w:type="dxa"/>
            <w:vAlign w:val="bottom"/>
          </w:tcPr>
          <w:p>
            <w:pPr>
              <w:ind w:left="140"/>
              <w:spacing w:after="0" w:line="155" w:lineRule="exact"/>
              <w:rPr>
                <w:sz w:val="20"/>
                <w:szCs w:val="20"/>
                <w:color w:val="auto"/>
              </w:rPr>
            </w:pPr>
            <w:r>
              <w:rPr>
                <w:rFonts w:ascii="Arial" w:cs="Arial" w:eastAsia="Arial" w:hAnsi="Arial"/>
                <w:sz w:val="16"/>
                <w:szCs w:val="16"/>
                <w:color w:val="auto"/>
                <w:w w:val="91"/>
              </w:rPr>
              <w:t>shares outstanding as of March 31, 2022; 180,309,637 shares issued and 179,925,915 shares outstanding as of</w:t>
            </w:r>
          </w:p>
        </w:tc>
        <w:tc>
          <w:tcPr>
            <w:tcW w:w="24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9"/>
        </w:trPr>
        <w:tc>
          <w:tcPr>
            <w:tcW w:w="7440" w:type="dxa"/>
            <w:vAlign w:val="bottom"/>
          </w:tcPr>
          <w:p>
            <w:pPr>
              <w:ind w:left="140"/>
              <w:spacing w:after="0"/>
              <w:rPr>
                <w:sz w:val="20"/>
                <w:szCs w:val="20"/>
                <w:color w:val="auto"/>
              </w:rPr>
            </w:pPr>
            <w:r>
              <w:rPr>
                <w:rFonts w:ascii="Arial" w:cs="Arial" w:eastAsia="Arial" w:hAnsi="Arial"/>
                <w:sz w:val="16"/>
                <w:szCs w:val="16"/>
                <w:color w:val="auto"/>
              </w:rPr>
              <w:t>December 31, 2021</w:t>
            </w:r>
          </w:p>
        </w:tc>
        <w:tc>
          <w:tcPr>
            <w:tcW w:w="2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Treasury stock; 383,722 shares outstanding, at cost, as of March 31, 2022 and December 31, 2021, respectively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Paid-in capital</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1,143,388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1,138,855</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39,867</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1,221,764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202"/>
        </w:trPr>
        <w:tc>
          <w:tcPr>
            <w:tcW w:w="74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2,878,276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2,790,918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STATEMENTS OF COMPREHENSIVE INCOME (LOSS)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5"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Three Months Ended</w:t>
      </w: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8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r>
      <w:tr>
        <w:trPr>
          <w:trHeight w:val="20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915,784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759,237</w:t>
            </w:r>
          </w:p>
        </w:tc>
        <w:tc>
          <w:tcPr>
            <w:tcW w:w="80" w:type="dxa"/>
            <w:vAlign w:val="bottom"/>
            <w:shd w:val="clear" w:color="auto" w:fill="CCEEFF"/>
          </w:tcPr>
          <w:p>
            <w:pPr>
              <w:spacing w:after="0"/>
              <w:rPr>
                <w:sz w:val="17"/>
                <w:szCs w:val="17"/>
                <w:color w:val="auto"/>
              </w:rPr>
            </w:pPr>
          </w:p>
        </w:tc>
      </w:tr>
      <w:tr>
        <w:trPr>
          <w:trHeight w:val="204"/>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714,848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593,764</w:t>
            </w:r>
          </w:p>
        </w:tc>
        <w:tc>
          <w:tcPr>
            <w:tcW w:w="80" w:type="dxa"/>
            <w:vAlign w:val="bottom"/>
            <w:tcBorders>
              <w:bottom w:val="single" w:sz="8" w:color="CCEEFF"/>
            </w:tcBorders>
          </w:tcPr>
          <w:p>
            <w:pPr>
              <w:spacing w:after="0"/>
              <w:rPr>
                <w:sz w:val="17"/>
                <w:szCs w:val="17"/>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200,936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165,473</w:t>
            </w:r>
          </w:p>
        </w:tc>
        <w:tc>
          <w:tcPr>
            <w:tcW w:w="80" w:type="dxa"/>
            <w:vAlign w:val="bottom"/>
            <w:shd w:val="clear" w:color="auto" w:fill="CCEEFF"/>
          </w:tcPr>
          <w:p>
            <w:pPr>
              <w:spacing w:after="0"/>
              <w:rPr>
                <w:sz w:val="17"/>
                <w:szCs w:val="17"/>
                <w:color w:val="auto"/>
              </w:rPr>
            </w:pPr>
          </w:p>
        </w:tc>
      </w:tr>
      <w:tr>
        <w:trPr>
          <w:trHeight w:val="245"/>
        </w:trPr>
        <w:tc>
          <w:tcPr>
            <w:tcW w:w="8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842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133,969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120,040</w:t>
            </w:r>
          </w:p>
        </w:tc>
        <w:tc>
          <w:tcPr>
            <w:tcW w:w="80" w:type="dxa"/>
            <w:vAlign w:val="bottom"/>
          </w:tcPr>
          <w:p>
            <w:pPr>
              <w:spacing w:after="0"/>
              <w:rPr>
                <w:sz w:val="17"/>
                <w:szCs w:val="17"/>
                <w:color w:val="auto"/>
              </w:rPr>
            </w:pPr>
          </w:p>
        </w:tc>
      </w:tr>
      <w:tr>
        <w:trPr>
          <w:trHeight w:val="210"/>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14,722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16,339</w:t>
            </w:r>
          </w:p>
        </w:tc>
        <w:tc>
          <w:tcPr>
            <w:tcW w:w="80" w:type="dxa"/>
            <w:vAlign w:val="bottom"/>
            <w:shd w:val="clear" w:color="auto" w:fill="CCEEFF"/>
          </w:tcPr>
          <w:p>
            <w:pPr>
              <w:spacing w:after="0"/>
              <w:rPr>
                <w:sz w:val="18"/>
                <w:szCs w:val="18"/>
                <w:color w:val="auto"/>
              </w:rPr>
            </w:pPr>
          </w:p>
        </w:tc>
      </w:tr>
      <w:tr>
        <w:trPr>
          <w:trHeight w:val="197"/>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148,691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136,379</w:t>
            </w:r>
          </w:p>
        </w:tc>
        <w:tc>
          <w:tcPr>
            <w:tcW w:w="80" w:type="dxa"/>
            <w:vAlign w:val="bottom"/>
            <w:tcBorders>
              <w:bottom w:val="single" w:sz="8" w:color="CCEEFF"/>
            </w:tcBorders>
          </w:tcPr>
          <w:p>
            <w:pPr>
              <w:spacing w:after="0"/>
              <w:rPr>
                <w:sz w:val="17"/>
                <w:szCs w:val="17"/>
                <w:color w:val="auto"/>
              </w:rPr>
            </w:pPr>
          </w:p>
        </w:tc>
      </w:tr>
      <w:tr>
        <w:trPr>
          <w:trHeight w:val="20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52,245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29,094</w:t>
            </w:r>
          </w:p>
        </w:tc>
        <w:tc>
          <w:tcPr>
            <w:tcW w:w="80" w:type="dxa"/>
            <w:vAlign w:val="bottom"/>
            <w:shd w:val="clear" w:color="auto" w:fill="CCEEFF"/>
          </w:tcPr>
          <w:p>
            <w:pPr>
              <w:spacing w:after="0"/>
              <w:rPr>
                <w:sz w:val="17"/>
                <w:szCs w:val="17"/>
                <w:color w:val="auto"/>
              </w:rPr>
            </w:pPr>
          </w:p>
        </w:tc>
      </w:tr>
      <w:tr>
        <w:trPr>
          <w:trHeight w:val="20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84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(12,246)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(19,481)</w:t>
            </w:r>
          </w:p>
        </w:tc>
        <w:tc>
          <w:tcPr>
            <w:tcW w:w="80" w:type="dxa"/>
            <w:vAlign w:val="bottom"/>
          </w:tcPr>
          <w:p>
            <w:pPr>
              <w:spacing w:after="0"/>
              <w:rPr>
                <w:sz w:val="17"/>
                <w:szCs w:val="17"/>
                <w:color w:val="auto"/>
              </w:rPr>
            </w:pPr>
          </w:p>
        </w:tc>
      </w:tr>
      <w:tr>
        <w:trPr>
          <w:trHeight w:val="210"/>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1,205</w:t>
            </w:r>
          </w:p>
        </w:tc>
        <w:tc>
          <w:tcPr>
            <w:tcW w:w="80" w:type="dxa"/>
            <w:vAlign w:val="bottom"/>
            <w:shd w:val="clear" w:color="auto" w:fill="CCEEFF"/>
          </w:tcPr>
          <w:p>
            <w:pPr>
              <w:spacing w:after="0"/>
              <w:rPr>
                <w:sz w:val="18"/>
                <w:szCs w:val="18"/>
                <w:color w:val="auto"/>
              </w:rPr>
            </w:pPr>
          </w:p>
        </w:tc>
      </w:tr>
      <w:tr>
        <w:trPr>
          <w:trHeight w:val="204"/>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(12,401)</w:t>
            </w:r>
          </w:p>
        </w:tc>
        <w:tc>
          <w:tcPr>
            <w:tcW w:w="80" w:type="dxa"/>
            <w:vAlign w:val="bottom"/>
            <w:tcBorders>
              <w:bottom w:val="single" w:sz="8" w:color="CCEEFF"/>
            </w:tcBorders>
          </w:tcPr>
          <w:p>
            <w:pPr>
              <w:spacing w:after="0"/>
              <w:rPr>
                <w:sz w:val="17"/>
                <w:szCs w:val="17"/>
                <w:color w:val="auto"/>
              </w:rPr>
            </w:pPr>
          </w:p>
        </w:tc>
      </w:tr>
      <w:tr>
        <w:trPr>
          <w:trHeight w:val="200"/>
        </w:trPr>
        <w:tc>
          <w:tcPr>
            <w:tcW w:w="84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(30,677)</w:t>
            </w:r>
          </w:p>
        </w:tc>
        <w:tc>
          <w:tcPr>
            <w:tcW w:w="80" w:type="dxa"/>
            <w:vAlign w:val="bottom"/>
            <w:shd w:val="clear" w:color="auto" w:fill="CCEEFF"/>
          </w:tcPr>
          <w:p>
            <w:pPr>
              <w:spacing w:after="0"/>
              <w:rPr>
                <w:sz w:val="17"/>
                <w:szCs w:val="17"/>
                <w:color w:val="auto"/>
              </w:rPr>
            </w:pPr>
          </w:p>
        </w:tc>
      </w:tr>
      <w:tr>
        <w:trPr>
          <w:trHeight w:val="20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41,268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80" w:type="dxa"/>
            <w:vAlign w:val="bottom"/>
            <w:shd w:val="clear" w:color="auto" w:fill="CCEEFF"/>
          </w:tcPr>
          <w:p>
            <w:pPr>
              <w:spacing w:after="0"/>
              <w:rPr>
                <w:sz w:val="17"/>
                <w:szCs w:val="17"/>
                <w:color w:val="auto"/>
              </w:rPr>
            </w:pPr>
          </w:p>
        </w:tc>
      </w:tr>
      <w:tr>
        <w:trPr>
          <w:trHeight w:val="204"/>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10,993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1,278</w:t>
            </w:r>
          </w:p>
        </w:tc>
        <w:tc>
          <w:tcPr>
            <w:tcW w:w="80" w:type="dxa"/>
            <w:vAlign w:val="bottom"/>
            <w:tcBorders>
              <w:bottom w:val="single" w:sz="8" w:color="CCEEFF"/>
            </w:tcBorders>
          </w:tcPr>
          <w:p>
            <w:pPr>
              <w:spacing w:after="0"/>
              <w:rPr>
                <w:sz w:val="17"/>
                <w:szCs w:val="17"/>
                <w:color w:val="auto"/>
              </w:rPr>
            </w:pPr>
          </w:p>
        </w:tc>
      </w:tr>
      <w:tr>
        <w:trPr>
          <w:trHeight w:val="228"/>
        </w:trPr>
        <w:tc>
          <w:tcPr>
            <w:tcW w:w="8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30,275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80" w:type="dxa"/>
            <w:vAlign w:val="bottom"/>
          </w:tcPr>
          <w:p>
            <w:pPr>
              <w:spacing w:after="0"/>
              <w:rPr>
                <w:sz w:val="17"/>
                <w:szCs w:val="17"/>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6"/>
        </w:trPr>
        <w:tc>
          <w:tcPr>
            <w:tcW w:w="842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unrealized gains on cash flow hedges, net of income tax expense of $3,763 and $0, respectively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11,070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4,081</w:t>
            </w:r>
          </w:p>
        </w:tc>
        <w:tc>
          <w:tcPr>
            <w:tcW w:w="80" w:type="dxa"/>
            <w:vAlign w:val="bottom"/>
            <w:shd w:val="clear" w:color="auto" w:fill="CCEEFF"/>
          </w:tcPr>
          <w:p>
            <w:pPr>
              <w:spacing w:after="0"/>
              <w:rPr>
                <w:sz w:val="18"/>
                <w:szCs w:val="18"/>
                <w:color w:val="auto"/>
              </w:rPr>
            </w:pPr>
          </w:p>
        </w:tc>
      </w:tr>
      <w:tr>
        <w:trPr>
          <w:trHeight w:val="197"/>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11,070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4,081</w:t>
            </w:r>
          </w:p>
        </w:tc>
        <w:tc>
          <w:tcPr>
            <w:tcW w:w="80" w:type="dxa"/>
            <w:vAlign w:val="bottom"/>
            <w:tcBorders>
              <w:bottom w:val="single" w:sz="8" w:color="CCEEFF"/>
            </w:tcBorders>
          </w:tcPr>
          <w:p>
            <w:pPr>
              <w:spacing w:after="0"/>
              <w:rPr>
                <w:sz w:val="17"/>
                <w:szCs w:val="17"/>
                <w:color w:val="auto"/>
              </w:rPr>
            </w:pPr>
          </w:p>
        </w:tc>
      </w:tr>
      <w:tr>
        <w:trPr>
          <w:trHeight w:val="227"/>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41,345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1"/>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7"/>
        </w:trPr>
        <w:tc>
          <w:tcPr>
            <w:tcW w:w="8420" w:type="dxa"/>
            <w:vAlign w:val="bottom"/>
          </w:tcPr>
          <w:p>
            <w:pPr>
              <w:ind w:left="140"/>
              <w:spacing w:after="0"/>
              <w:rPr>
                <w:sz w:val="20"/>
                <w:szCs w:val="20"/>
                <w:color w:val="auto"/>
              </w:rPr>
            </w:pPr>
            <w:r>
              <w:rPr>
                <w:rFonts w:ascii="Arial" w:cs="Arial" w:eastAsia="Arial" w:hAnsi="Arial"/>
                <w:sz w:val="16"/>
                <w:szCs w:val="16"/>
                <w:color w:val="auto"/>
              </w:rPr>
              <w:t>Earnings (loss) per share, basic</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7"/>
                <w:szCs w:val="17"/>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3"/>
        </w:trPr>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share, diluted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1"/>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2"/>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179,961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179,808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78"/>
        </w:trPr>
        <w:tc>
          <w:tcPr>
            <w:tcW w:w="8420" w:type="dxa"/>
            <w:vAlign w:val="bottom"/>
          </w:tcPr>
          <w:p>
            <w:pPr>
              <w:ind w:left="20"/>
              <w:spacing w:after="0" w:line="178" w:lineRule="exact"/>
              <w:rPr>
                <w:sz w:val="20"/>
                <w:szCs w:val="20"/>
                <w:color w:val="auto"/>
              </w:rPr>
            </w:pPr>
            <w:r>
              <w:rPr>
                <w:rFonts w:ascii="Arial" w:cs="Arial" w:eastAsia="Arial" w:hAnsi="Arial"/>
                <w:sz w:val="16"/>
                <w:szCs w:val="16"/>
                <w:color w:val="auto"/>
              </w:rPr>
              <w:t>Weighted average common shares outstanding, diluted</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181,681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179,808</w:t>
            </w:r>
          </w:p>
        </w:tc>
        <w:tc>
          <w:tcPr>
            <w:tcW w:w="80" w:type="dxa"/>
            <w:vAlign w:val="bottom"/>
          </w:tcPr>
          <w:p>
            <w:pPr>
              <w:spacing w:after="0"/>
              <w:rPr>
                <w:sz w:val="15"/>
                <w:szCs w:val="15"/>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ind w:right="4980"/>
        <w:spacing w:after="0" w:line="267" w:lineRule="auto"/>
        <w:rPr>
          <w:sz w:val="20"/>
          <w:szCs w:val="20"/>
          <w:color w:val="auto"/>
        </w:rPr>
      </w:pPr>
      <w:r>
        <w:rPr>
          <w:rFonts w:ascii="Arial" w:cs="Arial" w:eastAsia="Arial" w:hAnsi="Arial"/>
          <w:sz w:val="17"/>
          <w:szCs w:val="17"/>
          <w:b w:val="1"/>
          <w:bCs w:val="1"/>
          <w:color w:val="auto"/>
        </w:rPr>
        <w:t>UNAUDITED CONDENSED CONSOLIDATED STATEMENTS OF CASH FLOWS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3120" w:type="dxa"/>
            <w:vAlign w:val="bottom"/>
            <w:gridSpan w:val="5"/>
          </w:tcPr>
          <w:p>
            <w:pPr>
              <w:jc w:val="right"/>
              <w:ind w:right="422"/>
              <w:spacing w:after="0"/>
              <w:rPr>
                <w:sz w:val="20"/>
                <w:szCs w:val="20"/>
                <w:color w:val="auto"/>
              </w:rPr>
            </w:pPr>
            <w:r>
              <w:rPr>
                <w:rFonts w:ascii="Arial" w:cs="Arial" w:eastAsia="Arial" w:hAnsi="Arial"/>
                <w:sz w:val="16"/>
                <w:szCs w:val="16"/>
                <w:b w:val="1"/>
                <w:bCs w:val="1"/>
                <w:color w:val="auto"/>
              </w:rPr>
              <w:t>Three Months Ended March 31,</w:t>
            </w:r>
          </w:p>
        </w:tc>
      </w:tr>
      <w:tr>
        <w:trPr>
          <w:trHeight w:val="207"/>
        </w:trPr>
        <w:tc>
          <w:tcPr>
            <w:tcW w:w="8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r>
      <w:tr>
        <w:trPr>
          <w:trHeight w:val="190"/>
        </w:trPr>
        <w:tc>
          <w:tcPr>
            <w:tcW w:w="812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operations: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3,810</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 net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9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12,403</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Other adjustments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(28,766)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4,450</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(34,089)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(15,021)</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(6,241)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12,946</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8,026</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(41,481)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(18,208)</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(5,160)</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(10,273)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r>
      <w:tr>
        <w:trPr>
          <w:trHeight w:val="236"/>
        </w:trPr>
        <w:tc>
          <w:tcPr>
            <w:tcW w:w="81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32,681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18,380</w:t>
            </w:r>
          </w:p>
        </w:tc>
      </w:tr>
      <w:tr>
        <w:trPr>
          <w:trHeight w:val="204"/>
        </w:trPr>
        <w:tc>
          <w:tcPr>
            <w:tcW w:w="81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9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and equipment</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w:t>
            </w:r>
          </w:p>
        </w:tc>
      </w:tr>
      <w:tr>
        <w:trPr>
          <w:trHeight w:val="236"/>
        </w:trPr>
        <w:tc>
          <w:tcPr>
            <w:tcW w:w="81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w:t>
            </w:r>
          </w:p>
        </w:tc>
      </w:tr>
      <w:tr>
        <w:trPr>
          <w:trHeight w:val="204"/>
        </w:trPr>
        <w:tc>
          <w:tcPr>
            <w:tcW w:w="81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9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Proceeds from issuance of debt</w:t>
            </w:r>
          </w:p>
        </w:tc>
        <w:tc>
          <w:tcPr>
            <w:tcW w:w="9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355,200</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debt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Retirement of debt</w:t>
            </w:r>
          </w:p>
        </w:tc>
        <w:tc>
          <w:tcPr>
            <w:tcW w:w="9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(352,009)</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financing costs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Debt prepayment fees</w:t>
            </w:r>
          </w:p>
        </w:tc>
        <w:tc>
          <w:tcPr>
            <w:tcW w:w="9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(2,458)</w:t>
            </w:r>
          </w:p>
        </w:tc>
      </w:tr>
      <w:tr>
        <w:trPr>
          <w:trHeight w:val="202"/>
        </w:trPr>
        <w:tc>
          <w:tcPr>
            <w:tcW w:w="8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used in financing activities</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(5,160)</w:t>
            </w:r>
          </w:p>
        </w:tc>
      </w:tr>
      <w:tr>
        <w:trPr>
          <w:trHeight w:val="197"/>
        </w:trPr>
        <w:tc>
          <w:tcPr>
            <w:tcW w:w="81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10,097</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119,423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r>
      <w:tr>
        <w:trPr>
          <w:trHeight w:val="202"/>
        </w:trPr>
        <w:tc>
          <w:tcPr>
            <w:tcW w:w="812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145,600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109,362</w:t>
            </w:r>
          </w:p>
        </w:tc>
      </w:tr>
      <w:tr>
        <w:trPr>
          <w:trHeight w:val="38"/>
        </w:trPr>
        <w:tc>
          <w:tcPr>
            <w:tcW w:w="8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21,502</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operating leases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ind w:right="3900"/>
        <w:spacing w:after="0" w:line="267" w:lineRule="auto"/>
        <w:rPr>
          <w:sz w:val="20"/>
          <w:szCs w:val="20"/>
          <w:color w:val="auto"/>
        </w:rPr>
      </w:pPr>
      <w:r>
        <w:rPr>
          <w:rFonts w:ascii="Arial" w:cs="Arial" w:eastAsia="Arial" w:hAnsi="Arial"/>
          <w:sz w:val="17"/>
          <w:szCs w:val="17"/>
          <w:b w:val="1"/>
          <w:bCs w:val="1"/>
          <w:color w:val="auto"/>
        </w:rPr>
        <w:t>UNAUDITED CONDENSED CONSOLIDATED STATEMENTS OF STOCKHOLDERS’ EQUITY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6"/>
              </w:rPr>
              <w:t>Retained Earnings</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6"/>
                <w:szCs w:val="16"/>
                <w:color w:val="auto"/>
              </w:rPr>
            </w:pPr>
          </w:p>
        </w:tc>
        <w:tc>
          <w:tcPr>
            <w:tcW w:w="1160" w:type="dxa"/>
            <w:vAlign w:val="bottom"/>
            <w:vMerge w:val="restart"/>
          </w:tcPr>
          <w:p>
            <w:pPr>
              <w:jc w:val="center"/>
              <w:ind w:right="6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5"/>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Common</w:t>
            </w:r>
          </w:p>
        </w:tc>
        <w:tc>
          <w:tcPr>
            <w:tcW w:w="1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Paid-in</w:t>
            </w:r>
          </w:p>
        </w:tc>
        <w:tc>
          <w:tcPr>
            <w:tcW w:w="14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6"/>
              </w:rPr>
              <w:t>Comprehensive</w:t>
            </w: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8"/>
              </w:rPr>
              <w:t>(Accumulated</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3"/>
              </w:rPr>
              <w:t>(Loss)</w:t>
            </w:r>
          </w:p>
        </w:tc>
        <w:tc>
          <w:tcPr>
            <w:tcW w:w="140" w:type="dxa"/>
            <w:vAlign w:val="bottom"/>
          </w:tcPr>
          <w:p>
            <w:pPr>
              <w:spacing w:after="0"/>
              <w:rPr>
                <w:sz w:val="13"/>
                <w:szCs w:val="13"/>
                <w:color w:val="auto"/>
              </w:rPr>
            </w:pPr>
          </w:p>
        </w:tc>
        <w:tc>
          <w:tcPr>
            <w:tcW w:w="1160" w:type="dxa"/>
            <w:vAlign w:val="bottom"/>
          </w:tcPr>
          <w:p>
            <w:pPr>
              <w:jc w:val="center"/>
              <w:ind w:right="62"/>
              <w:spacing w:after="0" w:line="155" w:lineRule="exact"/>
              <w:rPr>
                <w:sz w:val="20"/>
                <w:szCs w:val="20"/>
                <w:color w:val="auto"/>
              </w:rPr>
            </w:pPr>
            <w:r>
              <w:rPr>
                <w:rFonts w:ascii="Arial" w:cs="Arial" w:eastAsia="Arial" w:hAnsi="Arial"/>
                <w:sz w:val="16"/>
                <w:szCs w:val="16"/>
                <w:b w:val="1"/>
                <w:bCs w:val="1"/>
                <w:color w:val="auto"/>
                <w:w w:val="85"/>
              </w:rPr>
              <w:t>Stockholders’</w:t>
            </w:r>
          </w:p>
        </w:tc>
        <w:tc>
          <w:tcPr>
            <w:tcW w:w="0" w:type="dxa"/>
            <w:vAlign w:val="bottom"/>
          </w:tcPr>
          <w:p>
            <w:pPr>
              <w:spacing w:after="0"/>
              <w:rPr>
                <w:sz w:val="1"/>
                <w:szCs w:val="1"/>
                <w:color w:val="auto"/>
              </w:rPr>
            </w:pPr>
          </w:p>
        </w:tc>
      </w:tr>
      <w:tr>
        <w:trPr>
          <w:trHeight w:val="204"/>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Income</w:t>
            </w:r>
          </w:p>
        </w:tc>
        <w:tc>
          <w:tcPr>
            <w:tcW w:w="140" w:type="dxa"/>
            <w:vAlign w:val="bottom"/>
          </w:tcPr>
          <w:p>
            <w:pPr>
              <w:spacing w:after="0"/>
              <w:rPr>
                <w:sz w:val="17"/>
                <w:szCs w:val="17"/>
                <w:color w:val="auto"/>
              </w:rPr>
            </w:pPr>
          </w:p>
        </w:tc>
        <w:tc>
          <w:tcPr>
            <w:tcW w:w="1160" w:type="dxa"/>
            <w:vAlign w:val="bottom"/>
          </w:tcPr>
          <w:p>
            <w:pPr>
              <w:jc w:val="center"/>
              <w:ind w:right="6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1,129,312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160"/>
        </w:trPr>
        <w:tc>
          <w:tcPr>
            <w:tcW w:w="2800" w:type="dxa"/>
            <w:vAlign w:val="bottom"/>
          </w:tcPr>
          <w:p>
            <w:pPr>
              <w:ind w:left="140"/>
              <w:spacing w:after="0" w:line="160"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0" w:type="dxa"/>
            <w:vAlign w:val="bottom"/>
          </w:tcPr>
          <w:p>
            <w:pPr>
              <w:ind w:left="140"/>
              <w:spacing w:after="0" w:line="155" w:lineRule="exact"/>
              <w:rPr>
                <w:sz w:val="20"/>
                <w:szCs w:val="20"/>
                <w:color w:val="auto"/>
              </w:rPr>
            </w:pPr>
            <w:r>
              <w:rPr>
                <w:rFonts w:ascii="Arial" w:cs="Arial" w:eastAsia="Arial" w:hAnsi="Arial"/>
                <w:sz w:val="16"/>
                <w:szCs w:val="16"/>
                <w:color w:val="auto"/>
              </w:rPr>
              <w:t>restricted stock, and related tax</w:t>
            </w:r>
          </w:p>
        </w:tc>
        <w:tc>
          <w:tcPr>
            <w:tcW w:w="120" w:type="dxa"/>
            <w:vAlign w:val="bottom"/>
          </w:tcPr>
          <w:p>
            <w:pPr>
              <w:spacing w:after="0"/>
              <w:rPr>
                <w:sz w:val="13"/>
                <w:szCs w:val="13"/>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9"/>
        </w:trPr>
        <w:tc>
          <w:tcPr>
            <w:tcW w:w="280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4"/>
        </w:trPr>
        <w:tc>
          <w:tcPr>
            <w:tcW w:w="28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07"/>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0" w:type="dxa"/>
            <w:vAlign w:val="bottom"/>
          </w:tcPr>
          <w:p>
            <w:pPr>
              <w:spacing w:after="0"/>
              <w:rPr>
                <w:sz w:val="1"/>
                <w:szCs w:val="1"/>
                <w:color w:val="auto"/>
              </w:rPr>
            </w:pPr>
          </w:p>
        </w:tc>
      </w:tr>
      <w:tr>
        <w:trPr>
          <w:trHeight w:val="202"/>
        </w:trPr>
        <w:tc>
          <w:tcPr>
            <w:tcW w:w="2800" w:type="dxa"/>
            <w:vAlign w:val="bottom"/>
          </w:tcPr>
          <w:p>
            <w:pPr>
              <w:ind w:left="20"/>
              <w:spacing w:after="0"/>
              <w:rPr>
                <w:sz w:val="20"/>
                <w:szCs w:val="20"/>
                <w:color w:val="auto"/>
              </w:rPr>
            </w:pPr>
            <w:r>
              <w:rPr>
                <w:rFonts w:ascii="Arial" w:cs="Arial" w:eastAsia="Arial" w:hAnsi="Arial"/>
                <w:sz w:val="16"/>
                <w:szCs w:val="16"/>
                <w:color w:val="auto"/>
              </w:rPr>
              <w:t>Balance - March 31, 2021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1,130,448</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(102,892)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1,018,080</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00" w:type="dxa"/>
            <w:vAlign w:val="bottom"/>
          </w:tcPr>
          <w:p>
            <w:pPr>
              <w:ind w:left="20"/>
              <w:spacing w:after="0"/>
              <w:rPr>
                <w:sz w:val="20"/>
                <w:szCs w:val="20"/>
                <w:color w:val="auto"/>
              </w:rPr>
            </w:pPr>
            <w:r>
              <w:rPr>
                <w:rFonts w:ascii="Arial" w:cs="Arial" w:eastAsia="Arial" w:hAnsi="Arial"/>
                <w:sz w:val="16"/>
                <w:szCs w:val="16"/>
                <w:color w:val="auto"/>
              </w:rPr>
              <w:t>Balance - December 31, 2021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1,138,855</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39,867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163"/>
        </w:trPr>
        <w:tc>
          <w:tcPr>
            <w:tcW w:w="28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tcPr>
          <w:p>
            <w:pPr>
              <w:ind w:left="2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4,178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30,275</w:t>
            </w:r>
          </w:p>
        </w:tc>
        <w:tc>
          <w:tcPr>
            <w:tcW w:w="0" w:type="dxa"/>
            <w:vAlign w:val="bottom"/>
          </w:tcPr>
          <w:p>
            <w:pPr>
              <w:spacing w:after="0"/>
              <w:rPr>
                <w:sz w:val="1"/>
                <w:szCs w:val="1"/>
                <w:color w:val="auto"/>
              </w:rPr>
            </w:pPr>
          </w:p>
        </w:tc>
      </w:tr>
      <w:tr>
        <w:trPr>
          <w:trHeight w:val="204"/>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11,070</w:t>
            </w:r>
          </w:p>
        </w:tc>
        <w:tc>
          <w:tcPr>
            <w:tcW w:w="0" w:type="dxa"/>
            <w:vAlign w:val="bottom"/>
          </w:tcPr>
          <w:p>
            <w:pPr>
              <w:spacing w:after="0"/>
              <w:rPr>
                <w:sz w:val="1"/>
                <w:szCs w:val="1"/>
                <w:color w:val="auto"/>
              </w:rPr>
            </w:pPr>
          </w:p>
        </w:tc>
      </w:tr>
      <w:tr>
        <w:trPr>
          <w:trHeight w:val="222"/>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March 31, 2022</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1,143,388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1,221,764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OPERATIONS AND PRESENTATION OF FINANCIAL STATEMENTS</w:t>
      </w:r>
    </w:p>
    <w:p>
      <w:pPr>
        <w:spacing w:after="0" w:line="179" w:lineRule="exact"/>
        <w:rPr>
          <w:sz w:val="20"/>
          <w:szCs w:val="20"/>
          <w:color w:val="auto"/>
        </w:rPr>
      </w:pPr>
    </w:p>
    <w:p>
      <w:pPr>
        <w:ind w:right="80" w:firstLine="310"/>
        <w:spacing w:after="0" w:line="272"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 7,</w:t>
      </w:r>
      <w:r>
        <w:rPr>
          <w:rFonts w:ascii="Arial" w:cs="Arial" w:eastAsia="Arial" w:hAnsi="Arial"/>
          <w:sz w:val="17"/>
          <w:szCs w:val="17"/>
          <w:b w:val="1"/>
          <w:bCs w:val="1"/>
          <w:color w:val="auto"/>
        </w:rPr>
        <w:t xml:space="preserve"> </w:t>
      </w:r>
      <w:r>
        <w:rPr>
          <w:rFonts w:ascii="Arial" w:cs="Arial" w:eastAsia="Arial" w:hAnsi="Arial"/>
          <w:sz w:val="17"/>
          <w:szCs w:val="17"/>
          <w:color w:val="auto"/>
        </w:rPr>
        <w:t>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30" w:lineRule="exact"/>
        <w:rPr>
          <w:sz w:val="20"/>
          <w:szCs w:val="20"/>
          <w:color w:val="auto"/>
        </w:rPr>
      </w:pPr>
    </w:p>
    <w:p>
      <w:pPr>
        <w:ind w:firstLine="310"/>
        <w:spacing w:after="0" w:line="258" w:lineRule="auto"/>
        <w:rPr>
          <w:sz w:val="20"/>
          <w:szCs w:val="20"/>
          <w:color w:val="auto"/>
        </w:rPr>
      </w:pPr>
      <w:r>
        <w:rPr>
          <w:rFonts w:ascii="Arial" w:cs="Arial" w:eastAsia="Arial" w:hAnsi="Arial"/>
          <w:sz w:val="17"/>
          <w:szCs w:val="17"/>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(“Option Care Health”, or the “Company”). The combined Company’s stock is listed on the Nasdaq Global Select Market as of March 31, 2022. HC I holds approximately 20.7% of the common stock of the Company.</w:t>
      </w:r>
    </w:p>
    <w:p>
      <w:pPr>
        <w:spacing w:after="0" w:line="157" w:lineRule="exact"/>
        <w:rPr>
          <w:sz w:val="20"/>
          <w:szCs w:val="20"/>
          <w:color w:val="auto"/>
        </w:rPr>
      </w:pPr>
    </w:p>
    <w:p>
      <w:pPr>
        <w:ind w:right="20" w:firstLine="310"/>
        <w:spacing w:after="0" w:line="263"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97 full service pharmacies and 57 stand-alone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32" w:lineRule="exact"/>
        <w:rPr>
          <w:sz w:val="20"/>
          <w:szCs w:val="20"/>
          <w:color w:val="auto"/>
        </w:rPr>
      </w:pPr>
    </w:p>
    <w:p>
      <w:pPr>
        <w:ind w:right="40" w:firstLine="310"/>
        <w:spacing w:after="0" w:line="25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condensed consolidated financial statements have been prepared in conformity with 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2021 audited consolidated financial statements, including the notes thereto, as presented in the Annual Report on Form 10-K filed with the Securities and Exchange Commission on February 23, 2022.</w:t>
      </w:r>
    </w:p>
    <w:p>
      <w:pPr>
        <w:spacing w:after="0" w:line="138" w:lineRule="exact"/>
        <w:rPr>
          <w:sz w:val="20"/>
          <w:szCs w:val="20"/>
          <w:color w:val="auto"/>
        </w:rPr>
      </w:pPr>
    </w:p>
    <w:p>
      <w:pPr>
        <w:ind w:right="80" w:firstLine="310"/>
        <w:spacing w:after="0" w:line="290"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 The Company’s unaudited condensed consolidated financial statements include the accounts of Option Care Health, Inc.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subsidiaries. All intercompany transactions and balances are eliminated in consolidation.</w:t>
      </w:r>
    </w:p>
    <w:p>
      <w:pPr>
        <w:spacing w:after="0" w:line="128" w:lineRule="exact"/>
        <w:rPr>
          <w:sz w:val="20"/>
          <w:szCs w:val="20"/>
          <w:color w:val="auto"/>
        </w:rPr>
      </w:pPr>
    </w:p>
    <w:p>
      <w:pPr>
        <w:ind w:firstLine="310"/>
        <w:spacing w:after="0" w:line="263" w:lineRule="auto"/>
        <w:rPr>
          <w:sz w:val="20"/>
          <w:szCs w:val="20"/>
          <w:color w:val="auto"/>
        </w:rPr>
      </w:pPr>
      <w:r>
        <w:rPr>
          <w:rFonts w:ascii="Arial" w:cs="Arial" w:eastAsia="Arial" w:hAnsi="Arial"/>
          <w:sz w:val="17"/>
          <w:szCs w:val="17"/>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(loss). See Equity-Method Investments within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Cash and Cash Equivalents </w:t>
      </w:r>
      <w:r>
        <w:rPr>
          <w:rFonts w:ascii="Arial" w:cs="Arial" w:eastAsia="Arial" w:hAnsi="Arial"/>
          <w:sz w:val="15"/>
          <w:szCs w:val="15"/>
          <w:color w:val="auto"/>
        </w:rPr>
        <w:t>— The Company considers all highly liquid investments with original maturities of three months or less to be cash equivalents.</w:t>
      </w:r>
    </w:p>
    <w:p>
      <w:pPr>
        <w:spacing w:after="0" w:line="202" w:lineRule="exact"/>
        <w:rPr>
          <w:sz w:val="20"/>
          <w:szCs w:val="20"/>
          <w:color w:val="auto"/>
        </w:rPr>
      </w:pPr>
    </w:p>
    <w:p>
      <w:pPr>
        <w:ind w:right="140" w:firstLine="310"/>
        <w:spacing w:after="0" w:line="272" w:lineRule="auto"/>
        <w:rPr>
          <w:sz w:val="20"/>
          <w:szCs w:val="20"/>
          <w:color w:val="auto"/>
        </w:rPr>
      </w:pPr>
      <w:r>
        <w:rPr>
          <w:rFonts w:ascii="Arial" w:cs="Arial" w:eastAsia="Arial" w:hAnsi="Arial"/>
          <w:sz w:val="17"/>
          <w:szCs w:val="17"/>
          <w:b w:val="1"/>
          <w:bCs w:val="1"/>
          <w:color w:val="auto"/>
        </w:rPr>
        <w:t xml:space="preserve">Prepaid expenses and other current assets </w:t>
      </w:r>
      <w:r>
        <w:rPr>
          <w:rFonts w:ascii="Arial" w:cs="Arial" w:eastAsia="Arial" w:hAnsi="Arial"/>
          <w:sz w:val="17"/>
          <w:szCs w:val="17"/>
          <w:color w:val="auto"/>
        </w:rPr>
        <w:t>— Included in prepaid expenses and other current assets are rebates receivable from pharmaceutical and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supply manufacturers of $47.6 million and $43.0 million as of March 31, 2022 and December 31, 2021, respectively. There were no other items included in prepaid expenses and other current assets that comprised 5% or more of total current assets.</w:t>
      </w:r>
    </w:p>
    <w:p>
      <w:pPr>
        <w:spacing w:after="0" w:line="188" w:lineRule="exact"/>
        <w:rPr>
          <w:sz w:val="20"/>
          <w:szCs w:val="20"/>
          <w:color w:val="auto"/>
        </w:rPr>
      </w:pPr>
    </w:p>
    <w:p>
      <w:pPr>
        <w:ind w:right="140" w:firstLine="310"/>
        <w:spacing w:after="0" w:line="275" w:lineRule="auto"/>
        <w:rPr>
          <w:sz w:val="20"/>
          <w:szCs w:val="20"/>
          <w:color w:val="auto"/>
        </w:rPr>
      </w:pPr>
      <w:r>
        <w:rPr>
          <w:rFonts w:ascii="Arial" w:cs="Arial" w:eastAsia="Arial" w:hAnsi="Arial"/>
          <w:sz w:val="16"/>
          <w:szCs w:val="16"/>
          <w:b w:val="1"/>
          <w:bCs w:val="1"/>
          <w:color w:val="auto"/>
        </w:rPr>
        <w:t xml:space="preserve">Equity Method Investments </w:t>
      </w:r>
      <w:r>
        <w:rPr>
          <w:rFonts w:ascii="Arial" w:cs="Arial" w:eastAsia="Arial" w:hAnsi="Arial"/>
          <w:sz w:val="16"/>
          <w:szCs w:val="16"/>
          <w:color w:val="auto"/>
        </w:rPr>
        <w:t>— The Company’s investments in certain unconsolidated entities are accounted for under the equity method. The balance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these investments is included in other noncurrent assets in the accompanying condensed consolidated balance sheets. As of March 31, 2022 and December 31, 2021, the balance of the investments were $21.4 million and $20.1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are recorded in equity in earnings of joint ventures in the accompanying unaudited condensed consolidated statements of comprehensive income (loss). The Company’s proportionate share of earnings was $1.3 million and $1.2 million for the three months March 31, 2022. and 2021, respectively. Distributions from the investees are treated as cash inflows from operating activities within other adjustments in the unaudited condensed consolidated statements of cash flows. During the three months March 31, 2022 and 2021, the Company did not receive a distribution from the investees. See Footnote 16, </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for discussion of related-party transactions with these investees.</w:t>
      </w:r>
    </w:p>
    <w:p>
      <w:pPr>
        <w:spacing w:after="0" w:line="114" w:lineRule="exact"/>
        <w:rPr>
          <w:sz w:val="20"/>
          <w:szCs w:val="20"/>
          <w:color w:val="auto"/>
        </w:rPr>
      </w:pPr>
    </w:p>
    <w:p>
      <w:pPr>
        <w:ind w:right="100" w:firstLine="310"/>
        <w:spacing w:after="0" w:line="231" w:lineRule="auto"/>
        <w:rPr>
          <w:sz w:val="20"/>
          <w:szCs w:val="20"/>
          <w:color w:val="auto"/>
        </w:rPr>
      </w:pPr>
      <w:r>
        <w:rPr>
          <w:rFonts w:ascii="Arial" w:cs="Arial" w:eastAsia="Arial" w:hAnsi="Arial"/>
          <w:sz w:val="17"/>
          <w:szCs w:val="17"/>
          <w:b w:val="1"/>
          <w:bCs w:val="1"/>
          <w:color w:val="auto"/>
        </w:rPr>
        <w:t xml:space="preserve">Immaterial Error Correction </w:t>
      </w:r>
      <w:r>
        <w:rPr>
          <w:rFonts w:ascii="Arial" w:cs="Arial" w:eastAsia="Arial" w:hAnsi="Arial"/>
          <w:sz w:val="17"/>
          <w:szCs w:val="17"/>
          <w:color w:val="auto"/>
        </w:rPr>
        <w:t>— During the three months ended June 30, 2021, the Company identified prior period misstatements related to the net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earned by category of payer for the periods ended September 30, 2020, December 31, 2020, March 31, 2021, and June 30, 2021. Certain individual payers were improperly classified as direct government and instead should have been classified as commercial payers. This error over-stated the Company’s government revenues and under-stated the Company’s commercial revenues in those periods. The Company assessed the materiality of these misstatements both quantitatively and qualitatively and determined the correction of these errors to be immaterial to the prior consolidated financial statements taken as a whole. As a result, the Company has corrected the misstatements as disclosed in the following tables: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w w:val="99"/>
              </w:rPr>
              <w:t>Three Months ended</w:t>
            </w:r>
          </w:p>
        </w:tc>
        <w:tc>
          <w:tcPr>
            <w:tcW w:w="340" w:type="dxa"/>
            <w:vAlign w:val="bottom"/>
          </w:tcPr>
          <w:p>
            <w:pPr>
              <w:spacing w:after="0"/>
              <w:rPr>
                <w:sz w:val="16"/>
                <w:szCs w:val="16"/>
                <w:color w:val="auto"/>
              </w:rPr>
            </w:pPr>
          </w:p>
        </w:tc>
        <w:tc>
          <w:tcPr>
            <w:tcW w:w="25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6"/>
              </w:rPr>
              <w:t>Nine Months ended September</w:t>
            </w:r>
          </w:p>
        </w:tc>
        <w:tc>
          <w:tcPr>
            <w:tcW w:w="320" w:type="dxa"/>
            <w:vAlign w:val="bottom"/>
          </w:tcPr>
          <w:p>
            <w:pPr>
              <w:spacing w:after="0"/>
              <w:rPr>
                <w:sz w:val="16"/>
                <w:szCs w:val="16"/>
                <w:color w:val="auto"/>
              </w:rPr>
            </w:pPr>
          </w:p>
        </w:tc>
        <w:tc>
          <w:tcPr>
            <w:tcW w:w="174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w w:val="98"/>
              </w:rPr>
              <w:t>Three Months ended</w:t>
            </w:r>
          </w:p>
        </w:tc>
        <w:tc>
          <w:tcPr>
            <w:tcW w:w="34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c>
          <w:tcPr>
            <w:tcW w:w="0" w:type="dxa"/>
            <w:vAlign w:val="bottom"/>
          </w:tcPr>
          <w:p>
            <w:pPr>
              <w:spacing w:after="0"/>
              <w:rPr>
                <w:sz w:val="1"/>
                <w:szCs w:val="1"/>
                <w:color w:val="auto"/>
              </w:rPr>
            </w:pPr>
          </w:p>
        </w:tc>
      </w:tr>
      <w:tr>
        <w:trPr>
          <w:trHeight w:val="204"/>
        </w:trPr>
        <w:tc>
          <w:tcPr>
            <w:tcW w:w="1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6"/>
                <w:szCs w:val="16"/>
                <w:b w:val="1"/>
                <w:bCs w:val="1"/>
                <w:color w:val="auto"/>
                <w:w w:val="90"/>
              </w:rPr>
              <w:t>September 30, 2020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30, 2020</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6"/>
                <w:szCs w:val="16"/>
                <w:b w:val="1"/>
                <w:bCs w:val="1"/>
                <w:color w:val="auto"/>
                <w:w w:val="92"/>
              </w:rPr>
              <w:t>December 31, 2020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31, 2020</w:t>
            </w: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b w:val="1"/>
                <w:bCs w:val="1"/>
                <w:color w:val="auto"/>
                <w:w w:val="95"/>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Amount</w:t>
            </w: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b w:val="1"/>
                <w:bCs w:val="1"/>
                <w:color w:val="auto"/>
                <w:w w:val="95"/>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Amount</w:t>
            </w: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92"/>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92"/>
              </w:rPr>
              <w:t>Revenue</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320"/>
              <w:spacing w:after="0" w:line="182" w:lineRule="exact"/>
              <w:rPr>
                <w:sz w:val="20"/>
                <w:szCs w:val="20"/>
                <w:color w:val="auto"/>
              </w:rPr>
            </w:pPr>
            <w:r>
              <w:rPr>
                <w:rFonts w:ascii="Arial" w:cs="Arial" w:eastAsia="Arial" w:hAnsi="Arial"/>
                <w:sz w:val="16"/>
                <w:szCs w:val="16"/>
                <w:b w:val="1"/>
                <w:bCs w:val="1"/>
                <w:color w:val="auto"/>
                <w:w w:val="92"/>
              </w:rPr>
              <w:t>Commercial:</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w w:val="92"/>
              </w:rPr>
              <w:t>As Previously</w:t>
            </w: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644,385</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82.4</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2"/>
              <w:spacing w:after="0" w:line="162" w:lineRule="exact"/>
              <w:rPr>
                <w:sz w:val="20"/>
                <w:szCs w:val="20"/>
                <w:color w:val="auto"/>
              </w:rPr>
            </w:pPr>
            <w:r>
              <w:rPr>
                <w:rFonts w:ascii="Arial" w:cs="Arial" w:eastAsia="Arial" w:hAnsi="Arial"/>
                <w:sz w:val="16"/>
                <w:szCs w:val="16"/>
                <w:color w:val="auto"/>
              </w:rPr>
              <w:t>1,893,105</w:t>
            </w:r>
          </w:p>
        </w:tc>
        <w:tc>
          <w:tcPr>
            <w:tcW w:w="720" w:type="dxa"/>
            <w:vAlign w:val="bottom"/>
            <w:shd w:val="clear" w:color="auto" w:fill="CCEEFF"/>
          </w:tcPr>
          <w:p>
            <w:pPr>
              <w:jc w:val="right"/>
              <w:ind w:right="222"/>
              <w:spacing w:after="0" w:line="162" w:lineRule="exact"/>
              <w:rPr>
                <w:sz w:val="20"/>
                <w:szCs w:val="20"/>
                <w:color w:val="auto"/>
              </w:rPr>
            </w:pPr>
            <w:r>
              <w:rPr>
                <w:rFonts w:ascii="Arial" w:cs="Arial" w:eastAsia="Arial" w:hAnsi="Arial"/>
                <w:sz w:val="16"/>
                <w:szCs w:val="16"/>
                <w:color w:val="auto"/>
              </w:rPr>
              <w:t>85.0</w:t>
            </w:r>
          </w:p>
        </w:tc>
        <w:tc>
          <w:tcPr>
            <w:tcW w:w="340" w:type="dxa"/>
            <w:vAlign w:val="bottom"/>
            <w:shd w:val="clear" w:color="auto" w:fill="CCEEFF"/>
          </w:tcPr>
          <w:p>
            <w:pPr>
              <w:jc w:val="right"/>
              <w:ind w:right="82"/>
              <w:spacing w:after="0" w:line="162"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649,880</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80.8</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2"/>
              <w:spacing w:after="0" w:line="162" w:lineRule="exact"/>
              <w:rPr>
                <w:sz w:val="20"/>
                <w:szCs w:val="20"/>
                <w:color w:val="auto"/>
              </w:rPr>
            </w:pPr>
            <w:r>
              <w:rPr>
                <w:rFonts w:ascii="Arial" w:cs="Arial" w:eastAsia="Arial" w:hAnsi="Arial"/>
                <w:sz w:val="16"/>
                <w:szCs w:val="16"/>
                <w:color w:val="auto"/>
              </w:rPr>
              <w:t>2,542,985</w:t>
            </w:r>
          </w:p>
        </w:tc>
        <w:tc>
          <w:tcPr>
            <w:tcW w:w="72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83.9</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40" w:type="dxa"/>
            <w:vAlign w:val="bottom"/>
          </w:tcPr>
          <w:p>
            <w:pPr>
              <w:ind w:left="320"/>
              <w:spacing w:after="0"/>
              <w:rPr>
                <w:sz w:val="20"/>
                <w:szCs w:val="20"/>
                <w:color w:val="auto"/>
              </w:rPr>
            </w:pPr>
            <w:r>
              <w:rPr>
                <w:rFonts w:ascii="Arial" w:cs="Arial" w:eastAsia="Arial" w:hAnsi="Arial"/>
                <w:sz w:val="16"/>
                <w:szCs w:val="16"/>
                <w:color w:val="auto"/>
              </w:rPr>
              <w:t>Adjustment</w:t>
            </w:r>
          </w:p>
        </w:tc>
        <w:tc>
          <w:tcPr>
            <w:tcW w:w="4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34,321</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4.4</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34,321</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1.5</w:t>
            </w:r>
          </w:p>
        </w:tc>
        <w:tc>
          <w:tcPr>
            <w:tcW w:w="3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40,806</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5.1</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75,127</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 Revised</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678,706</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86.8</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1,927,426</w:t>
            </w:r>
          </w:p>
        </w:tc>
        <w:tc>
          <w:tcPr>
            <w:tcW w:w="7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86.5</w:t>
            </w: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690,686</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85.9</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2,618,112</w:t>
            </w:r>
          </w:p>
        </w:tc>
        <w:tc>
          <w:tcPr>
            <w:tcW w:w="7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w w:val="90"/>
              </w:rPr>
              <w:t>Government:</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320"/>
              <w:spacing w:after="0" w:line="160" w:lineRule="exact"/>
              <w:rPr>
                <w:sz w:val="20"/>
                <w:szCs w:val="20"/>
                <w:color w:val="auto"/>
              </w:rPr>
            </w:pPr>
            <w:r>
              <w:rPr>
                <w:rFonts w:ascii="Arial" w:cs="Arial" w:eastAsia="Arial" w:hAnsi="Arial"/>
                <w:sz w:val="16"/>
                <w:szCs w:val="16"/>
                <w:color w:val="auto"/>
                <w:w w:val="92"/>
              </w:rPr>
              <w:t>As Previously</w:t>
            </w:r>
          </w:p>
        </w:tc>
        <w:tc>
          <w:tcPr>
            <w:tcW w:w="460" w:type="dxa"/>
            <w:vAlign w:val="bottom"/>
          </w:tcPr>
          <w:p>
            <w:pPr>
              <w:spacing w:after="0"/>
              <w:rPr>
                <w:sz w:val="13"/>
                <w:szCs w:val="13"/>
                <w:color w:val="auto"/>
              </w:rPr>
            </w:pPr>
          </w:p>
        </w:tc>
        <w:tc>
          <w:tcPr>
            <w:tcW w:w="940" w:type="dxa"/>
            <w:vAlign w:val="bottom"/>
          </w:tcPr>
          <w:p>
            <w:pPr>
              <w:jc w:val="right"/>
              <w:ind w:right="62"/>
              <w:spacing w:after="0" w:line="160" w:lineRule="exact"/>
              <w:rPr>
                <w:sz w:val="20"/>
                <w:szCs w:val="20"/>
                <w:color w:val="auto"/>
              </w:rPr>
            </w:pPr>
            <w:r>
              <w:rPr>
                <w:rFonts w:ascii="Arial" w:cs="Arial" w:eastAsia="Arial" w:hAnsi="Arial"/>
                <w:sz w:val="16"/>
                <w:szCs w:val="16"/>
                <w:color w:val="auto"/>
              </w:rPr>
              <w:t>127,435</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16.3</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3"/>
                <w:szCs w:val="13"/>
                <w:color w:val="auto"/>
              </w:rPr>
            </w:pPr>
          </w:p>
        </w:tc>
        <w:tc>
          <w:tcPr>
            <w:tcW w:w="1100" w:type="dxa"/>
            <w:vAlign w:val="bottom"/>
          </w:tcPr>
          <w:p>
            <w:pPr>
              <w:jc w:val="right"/>
              <w:ind w:right="122"/>
              <w:spacing w:after="0" w:line="160" w:lineRule="exact"/>
              <w:rPr>
                <w:sz w:val="20"/>
                <w:szCs w:val="20"/>
                <w:color w:val="auto"/>
              </w:rPr>
            </w:pPr>
            <w:r>
              <w:rPr>
                <w:rFonts w:ascii="Arial" w:cs="Arial" w:eastAsia="Arial" w:hAnsi="Arial"/>
                <w:sz w:val="16"/>
                <w:szCs w:val="16"/>
                <w:color w:val="auto"/>
              </w:rPr>
              <w:t>308,830</w:t>
            </w:r>
          </w:p>
        </w:tc>
        <w:tc>
          <w:tcPr>
            <w:tcW w:w="720" w:type="dxa"/>
            <w:vAlign w:val="bottom"/>
          </w:tcPr>
          <w:p>
            <w:pPr>
              <w:jc w:val="right"/>
              <w:ind w:right="222"/>
              <w:spacing w:after="0" w:line="160" w:lineRule="exact"/>
              <w:rPr>
                <w:sz w:val="20"/>
                <w:szCs w:val="20"/>
                <w:color w:val="auto"/>
              </w:rPr>
            </w:pPr>
            <w:r>
              <w:rPr>
                <w:rFonts w:ascii="Arial" w:cs="Arial" w:eastAsia="Arial" w:hAnsi="Arial"/>
                <w:sz w:val="16"/>
                <w:szCs w:val="16"/>
                <w:color w:val="auto"/>
              </w:rPr>
              <w:t>13.9</w:t>
            </w:r>
          </w:p>
        </w:tc>
        <w:tc>
          <w:tcPr>
            <w:tcW w:w="340" w:type="dxa"/>
            <w:vAlign w:val="bottom"/>
          </w:tcPr>
          <w:p>
            <w:pPr>
              <w:jc w:val="right"/>
              <w:ind w:right="82"/>
              <w:spacing w:after="0" w:line="160"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940" w:type="dxa"/>
            <w:vAlign w:val="bottom"/>
          </w:tcPr>
          <w:p>
            <w:pPr>
              <w:jc w:val="right"/>
              <w:ind w:right="62"/>
              <w:spacing w:after="0" w:line="160" w:lineRule="exact"/>
              <w:rPr>
                <w:sz w:val="20"/>
                <w:szCs w:val="20"/>
                <w:color w:val="auto"/>
              </w:rPr>
            </w:pPr>
            <w:r>
              <w:rPr>
                <w:rFonts w:ascii="Arial" w:cs="Arial" w:eastAsia="Arial" w:hAnsi="Arial"/>
                <w:sz w:val="16"/>
                <w:szCs w:val="16"/>
                <w:color w:val="auto"/>
              </w:rPr>
              <w:t>141,237</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17.6</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3"/>
                <w:szCs w:val="13"/>
                <w:color w:val="auto"/>
              </w:rPr>
            </w:pPr>
          </w:p>
        </w:tc>
        <w:tc>
          <w:tcPr>
            <w:tcW w:w="1100" w:type="dxa"/>
            <w:vAlign w:val="bottom"/>
          </w:tcPr>
          <w:p>
            <w:pPr>
              <w:jc w:val="right"/>
              <w:ind w:right="122"/>
              <w:spacing w:after="0" w:line="160" w:lineRule="exact"/>
              <w:rPr>
                <w:sz w:val="20"/>
                <w:szCs w:val="20"/>
                <w:color w:val="auto"/>
              </w:rPr>
            </w:pPr>
            <w:r>
              <w:rPr>
                <w:rFonts w:ascii="Arial" w:cs="Arial" w:eastAsia="Arial" w:hAnsi="Arial"/>
                <w:sz w:val="16"/>
                <w:szCs w:val="16"/>
                <w:color w:val="auto"/>
              </w:rPr>
              <w:t>450,067</w:t>
            </w:r>
          </w:p>
        </w:tc>
        <w:tc>
          <w:tcPr>
            <w:tcW w:w="72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14.8</w:t>
            </w:r>
          </w:p>
        </w:tc>
        <w:tc>
          <w:tcPr>
            <w:tcW w:w="1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240" w:type="dxa"/>
            <w:vAlign w:val="bottom"/>
          </w:tcPr>
          <w:p>
            <w:pPr>
              <w:ind w:left="20"/>
              <w:spacing w:after="0"/>
              <w:rPr>
                <w:sz w:val="20"/>
                <w:szCs w:val="20"/>
                <w:color w:val="auto"/>
              </w:rPr>
            </w:pPr>
            <w:r>
              <w:rPr>
                <w:rFonts w:ascii="Arial" w:cs="Arial" w:eastAsia="Arial" w:hAnsi="Arial"/>
                <w:sz w:val="16"/>
                <w:szCs w:val="16"/>
                <w:color w:val="auto"/>
              </w:rPr>
              <w:t>Reported</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(34,321)</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(4.4)</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(34,321)</w:t>
            </w:r>
          </w:p>
        </w:tc>
        <w:tc>
          <w:tcPr>
            <w:tcW w:w="7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(40,806)</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(5.1)</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(75,127)</w:t>
            </w:r>
          </w:p>
        </w:tc>
        <w:tc>
          <w:tcPr>
            <w:tcW w:w="7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240" w:type="dxa"/>
            <w:vAlign w:val="bottom"/>
          </w:tcPr>
          <w:p>
            <w:pPr>
              <w:ind w:left="320"/>
              <w:spacing w:after="0"/>
              <w:rPr>
                <w:sz w:val="20"/>
                <w:szCs w:val="20"/>
                <w:color w:val="auto"/>
              </w:rPr>
            </w:pPr>
            <w:r>
              <w:rPr>
                <w:rFonts w:ascii="Arial" w:cs="Arial" w:eastAsia="Arial" w:hAnsi="Arial"/>
                <w:sz w:val="16"/>
                <w:szCs w:val="16"/>
                <w:color w:val="auto"/>
              </w:rPr>
              <w:t>As Revised</w:t>
            </w:r>
          </w:p>
        </w:tc>
        <w:tc>
          <w:tcPr>
            <w:tcW w:w="4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93,114</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11.9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274,509</w:t>
            </w:r>
          </w:p>
        </w:tc>
        <w:tc>
          <w:tcPr>
            <w:tcW w:w="720" w:type="dxa"/>
            <w:vAlign w:val="bottom"/>
          </w:tcPr>
          <w:p>
            <w:pPr>
              <w:jc w:val="right"/>
              <w:ind w:right="222"/>
              <w:spacing w:after="0"/>
              <w:rPr>
                <w:sz w:val="20"/>
                <w:szCs w:val="20"/>
                <w:color w:val="auto"/>
              </w:rPr>
            </w:pPr>
            <w:r>
              <w:rPr>
                <w:rFonts w:ascii="Arial" w:cs="Arial" w:eastAsia="Arial" w:hAnsi="Arial"/>
                <w:sz w:val="16"/>
                <w:szCs w:val="16"/>
                <w:color w:val="auto"/>
              </w:rPr>
              <w:t>12.4</w:t>
            </w:r>
          </w:p>
        </w:tc>
        <w:tc>
          <w:tcPr>
            <w:tcW w:w="3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100,431</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12.5</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374,940</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12.3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3"/>
          </w:tcPr>
          <w:p>
            <w:pPr>
              <w:jc w:val="right"/>
              <w:ind w:right="182"/>
              <w:spacing w:after="0"/>
              <w:rPr>
                <w:sz w:val="20"/>
                <w:szCs w:val="20"/>
                <w:color w:val="auto"/>
              </w:rPr>
            </w:pPr>
            <w:r>
              <w:rPr>
                <w:rFonts w:ascii="Arial" w:cs="Arial" w:eastAsia="Arial" w:hAnsi="Arial"/>
                <w:sz w:val="16"/>
                <w:szCs w:val="16"/>
                <w:b w:val="1"/>
                <w:bCs w:val="1"/>
                <w:color w:val="auto"/>
                <w:w w:val="89"/>
              </w:rPr>
              <w:t>Three Months ended March</w:t>
            </w:r>
          </w:p>
        </w:tc>
        <w:tc>
          <w:tcPr>
            <w:tcW w:w="24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6"/>
              </w:rPr>
              <w:t>Three Months ended June 30,</w:t>
            </w:r>
          </w:p>
        </w:tc>
        <w:tc>
          <w:tcPr>
            <w:tcW w:w="2340" w:type="dxa"/>
            <w:vAlign w:val="bottom"/>
            <w:gridSpan w:val="4"/>
          </w:tcPr>
          <w:p>
            <w:pPr>
              <w:ind w:left="180"/>
              <w:spacing w:after="0"/>
              <w:rPr>
                <w:sz w:val="20"/>
                <w:szCs w:val="20"/>
                <w:color w:val="auto"/>
              </w:rPr>
            </w:pPr>
            <w:r>
              <w:rPr>
                <w:rFonts w:ascii="Arial" w:cs="Arial" w:eastAsia="Arial" w:hAnsi="Arial"/>
                <w:sz w:val="16"/>
                <w:szCs w:val="16"/>
                <w:b w:val="1"/>
                <w:bCs w:val="1"/>
                <w:color w:val="auto"/>
                <w:w w:val="87"/>
              </w:rPr>
              <w:t>Six Months ended June 30, 2021</w:t>
            </w:r>
          </w:p>
        </w:tc>
        <w:tc>
          <w:tcPr>
            <w:tcW w:w="0" w:type="dxa"/>
            <w:vAlign w:val="bottom"/>
          </w:tcPr>
          <w:p>
            <w:pPr>
              <w:spacing w:after="0"/>
              <w:rPr>
                <w:sz w:val="1"/>
                <w:szCs w:val="1"/>
                <w:color w:val="auto"/>
              </w:rPr>
            </w:pPr>
          </w:p>
        </w:tc>
      </w:tr>
      <w:tr>
        <w:trPr>
          <w:trHeight w:val="204"/>
        </w:trPr>
        <w:tc>
          <w:tcPr>
            <w:tcW w:w="1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31, 2021</w:t>
            </w: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62"/>
              <w:spacing w:after="0"/>
              <w:rPr>
                <w:sz w:val="20"/>
                <w:szCs w:val="20"/>
                <w:color w:val="auto"/>
              </w:rPr>
            </w:pPr>
            <w:r>
              <w:rPr>
                <w:rFonts w:ascii="Arial" w:cs="Arial" w:eastAsia="Arial" w:hAnsi="Arial"/>
                <w:sz w:val="16"/>
                <w:szCs w:val="16"/>
                <w:b w:val="1"/>
                <w:bCs w:val="1"/>
                <w:color w:val="auto"/>
              </w:rPr>
              <w:t>Amount</w:t>
            </w:r>
          </w:p>
        </w:tc>
        <w:tc>
          <w:tcPr>
            <w:tcW w:w="7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02"/>
              <w:spacing w:after="0"/>
              <w:rPr>
                <w:sz w:val="20"/>
                <w:szCs w:val="20"/>
                <w:color w:val="auto"/>
              </w:rPr>
            </w:pPr>
            <w:r>
              <w:rPr>
                <w:rFonts w:ascii="Arial" w:cs="Arial" w:eastAsia="Arial" w:hAnsi="Arial"/>
                <w:sz w:val="16"/>
                <w:szCs w:val="16"/>
                <w:b w:val="1"/>
                <w:bCs w:val="1"/>
                <w:color w:val="auto"/>
                <w:w w:val="95"/>
              </w:rPr>
              <w:t>Amount</w:t>
            </w: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322"/>
              <w:spacing w:after="0"/>
              <w:rPr>
                <w:sz w:val="20"/>
                <w:szCs w:val="20"/>
                <w:color w:val="auto"/>
              </w:rPr>
            </w:pPr>
            <w:r>
              <w:rPr>
                <w:rFonts w:ascii="Arial" w:cs="Arial" w:eastAsia="Arial" w:hAnsi="Arial"/>
                <w:sz w:val="16"/>
                <w:szCs w:val="16"/>
                <w:b w:val="1"/>
                <w:bCs w:val="1"/>
                <w:color w:val="auto"/>
                <w:w w:val="99"/>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Revenue</w:t>
            </w:r>
          </w:p>
        </w:tc>
        <w:tc>
          <w:tcPr>
            <w:tcW w:w="3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320"/>
              <w:spacing w:after="0" w:line="182" w:lineRule="exact"/>
              <w:rPr>
                <w:sz w:val="20"/>
                <w:szCs w:val="20"/>
                <w:color w:val="auto"/>
              </w:rPr>
            </w:pPr>
            <w:r>
              <w:rPr>
                <w:rFonts w:ascii="Arial" w:cs="Arial" w:eastAsia="Arial" w:hAnsi="Arial"/>
                <w:sz w:val="16"/>
                <w:szCs w:val="16"/>
                <w:b w:val="1"/>
                <w:bCs w:val="1"/>
                <w:color w:val="auto"/>
                <w:w w:val="92"/>
              </w:rPr>
              <w:t>Commercial:</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w w:val="92"/>
              </w:rPr>
              <w:t>As Previously</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2"/>
              <w:spacing w:after="0" w:line="162" w:lineRule="exact"/>
              <w:rPr>
                <w:sz w:val="20"/>
                <w:szCs w:val="20"/>
                <w:color w:val="auto"/>
              </w:rPr>
            </w:pPr>
            <w:r>
              <w:rPr>
                <w:rFonts w:ascii="Arial" w:cs="Arial" w:eastAsia="Arial" w:hAnsi="Arial"/>
                <w:sz w:val="16"/>
                <w:szCs w:val="16"/>
                <w:color w:val="auto"/>
              </w:rPr>
              <w:t>611,434</w:t>
            </w:r>
          </w:p>
        </w:tc>
        <w:tc>
          <w:tcPr>
            <w:tcW w:w="7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80.5</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42"/>
              <w:spacing w:after="0" w:line="162" w:lineRule="exact"/>
              <w:rPr>
                <w:sz w:val="20"/>
                <w:szCs w:val="20"/>
                <w:color w:val="auto"/>
              </w:rPr>
            </w:pPr>
            <w:r>
              <w:rPr>
                <w:rFonts w:ascii="Arial" w:cs="Arial" w:eastAsia="Arial" w:hAnsi="Arial"/>
                <w:sz w:val="16"/>
                <w:szCs w:val="16"/>
                <w:color w:val="auto"/>
              </w:rPr>
              <w:t>703,429</w:t>
            </w:r>
          </w:p>
        </w:tc>
        <w:tc>
          <w:tcPr>
            <w:tcW w:w="740" w:type="dxa"/>
            <w:vAlign w:val="bottom"/>
            <w:shd w:val="clear" w:color="auto" w:fill="CCEEFF"/>
          </w:tcPr>
          <w:p>
            <w:pPr>
              <w:jc w:val="right"/>
              <w:ind w:right="222"/>
              <w:spacing w:after="0" w:line="162" w:lineRule="exact"/>
              <w:rPr>
                <w:sz w:val="20"/>
                <w:szCs w:val="20"/>
                <w:color w:val="auto"/>
              </w:rPr>
            </w:pPr>
            <w:r>
              <w:rPr>
                <w:rFonts w:ascii="Arial" w:cs="Arial" w:eastAsia="Arial" w:hAnsi="Arial"/>
                <w:sz w:val="16"/>
                <w:szCs w:val="16"/>
                <w:color w:val="auto"/>
              </w:rPr>
              <w:t>81.8</w:t>
            </w:r>
          </w:p>
        </w:tc>
        <w:tc>
          <w:tcPr>
            <w:tcW w:w="36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1,314,862</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81.2</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40" w:type="dxa"/>
            <w:vAlign w:val="bottom"/>
          </w:tcPr>
          <w:p>
            <w:pPr>
              <w:ind w:left="320"/>
              <w:spacing w:after="0"/>
              <w:rPr>
                <w:sz w:val="20"/>
                <w:szCs w:val="20"/>
                <w:color w:val="auto"/>
              </w:rPr>
            </w:pPr>
            <w:r>
              <w:rPr>
                <w:rFonts w:ascii="Arial" w:cs="Arial" w:eastAsia="Arial" w:hAnsi="Arial"/>
                <w:sz w:val="16"/>
                <w:szCs w:val="16"/>
                <w:color w:val="auto"/>
              </w:rPr>
              <w:t>Adjustment</w:t>
            </w:r>
          </w:p>
        </w:tc>
        <w:tc>
          <w:tcPr>
            <w:tcW w:w="40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37,073</w:t>
            </w: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4.9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43,218</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5.0</w:t>
            </w:r>
          </w:p>
        </w:tc>
        <w:tc>
          <w:tcPr>
            <w:tcW w:w="3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80,292</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4.9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 Revised</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648,507</w:t>
            </w: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85.4</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746,647</w:t>
            </w:r>
          </w:p>
        </w:tc>
        <w:tc>
          <w:tcPr>
            <w:tcW w:w="7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86.8</w:t>
            </w:r>
          </w:p>
        </w:tc>
        <w:tc>
          <w:tcPr>
            <w:tcW w:w="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1,395,154</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w w:val="90"/>
              </w:rPr>
              <w:t>Government: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320"/>
              <w:spacing w:after="0" w:line="160" w:lineRule="exact"/>
              <w:rPr>
                <w:sz w:val="20"/>
                <w:szCs w:val="20"/>
                <w:color w:val="auto"/>
              </w:rPr>
            </w:pPr>
            <w:r>
              <w:rPr>
                <w:rFonts w:ascii="Arial" w:cs="Arial" w:eastAsia="Arial" w:hAnsi="Arial"/>
                <w:sz w:val="16"/>
                <w:szCs w:val="16"/>
                <w:color w:val="auto"/>
                <w:w w:val="92"/>
              </w:rPr>
              <w:t>As Previously</w:t>
            </w:r>
          </w:p>
        </w:tc>
        <w:tc>
          <w:tcPr>
            <w:tcW w:w="400" w:type="dxa"/>
            <w:vAlign w:val="bottom"/>
          </w:tcPr>
          <w:p>
            <w:pPr>
              <w:spacing w:after="0"/>
              <w:rPr>
                <w:sz w:val="13"/>
                <w:szCs w:val="13"/>
                <w:color w:val="auto"/>
              </w:rPr>
            </w:pPr>
          </w:p>
        </w:tc>
        <w:tc>
          <w:tcPr>
            <w:tcW w:w="1100" w:type="dxa"/>
            <w:vAlign w:val="bottom"/>
          </w:tcPr>
          <w:p>
            <w:pPr>
              <w:jc w:val="right"/>
              <w:ind w:right="142"/>
              <w:spacing w:after="0" w:line="160" w:lineRule="exact"/>
              <w:rPr>
                <w:sz w:val="20"/>
                <w:szCs w:val="20"/>
                <w:color w:val="auto"/>
              </w:rPr>
            </w:pPr>
            <w:r>
              <w:rPr>
                <w:rFonts w:ascii="Arial" w:cs="Arial" w:eastAsia="Arial" w:hAnsi="Arial"/>
                <w:sz w:val="16"/>
                <w:szCs w:val="16"/>
                <w:color w:val="auto"/>
              </w:rPr>
              <w:t>134,914</w:t>
            </w:r>
          </w:p>
        </w:tc>
        <w:tc>
          <w:tcPr>
            <w:tcW w:w="7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17.8</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3"/>
                <w:szCs w:val="13"/>
                <w:color w:val="auto"/>
              </w:rPr>
            </w:pPr>
          </w:p>
        </w:tc>
        <w:tc>
          <w:tcPr>
            <w:tcW w:w="980" w:type="dxa"/>
            <w:vAlign w:val="bottom"/>
          </w:tcPr>
          <w:p>
            <w:pPr>
              <w:jc w:val="right"/>
              <w:ind w:right="102"/>
              <w:spacing w:after="0" w:line="160" w:lineRule="exact"/>
              <w:rPr>
                <w:sz w:val="20"/>
                <w:szCs w:val="20"/>
                <w:color w:val="auto"/>
              </w:rPr>
            </w:pPr>
            <w:r>
              <w:rPr>
                <w:rFonts w:ascii="Arial" w:cs="Arial" w:eastAsia="Arial" w:hAnsi="Arial"/>
                <w:sz w:val="16"/>
                <w:szCs w:val="16"/>
                <w:color w:val="auto"/>
              </w:rPr>
              <w:t>145,799</w:t>
            </w:r>
          </w:p>
        </w:tc>
        <w:tc>
          <w:tcPr>
            <w:tcW w:w="740" w:type="dxa"/>
            <w:vAlign w:val="bottom"/>
          </w:tcPr>
          <w:p>
            <w:pPr>
              <w:jc w:val="right"/>
              <w:ind w:right="222"/>
              <w:spacing w:after="0" w:line="160" w:lineRule="exact"/>
              <w:rPr>
                <w:sz w:val="20"/>
                <w:szCs w:val="20"/>
                <w:color w:val="auto"/>
              </w:rPr>
            </w:pPr>
            <w:r>
              <w:rPr>
                <w:rFonts w:ascii="Arial" w:cs="Arial" w:eastAsia="Arial" w:hAnsi="Arial"/>
                <w:sz w:val="16"/>
                <w:szCs w:val="16"/>
                <w:color w:val="auto"/>
              </w:rPr>
              <w:t>16.9</w:t>
            </w:r>
          </w:p>
        </w:tc>
        <w:tc>
          <w:tcPr>
            <w:tcW w:w="360" w:type="dxa"/>
            <w:vAlign w:val="bottom"/>
          </w:tcPr>
          <w:p>
            <w:pPr>
              <w:jc w:val="right"/>
              <w:ind w:right="102"/>
              <w:spacing w:after="0" w:line="160"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1020" w:type="dxa"/>
            <w:vAlign w:val="bottom"/>
          </w:tcPr>
          <w:p>
            <w:pPr>
              <w:jc w:val="right"/>
              <w:ind w:right="62"/>
              <w:spacing w:after="0" w:line="160" w:lineRule="exact"/>
              <w:rPr>
                <w:sz w:val="20"/>
                <w:szCs w:val="20"/>
                <w:color w:val="auto"/>
              </w:rPr>
            </w:pPr>
            <w:r>
              <w:rPr>
                <w:rFonts w:ascii="Arial" w:cs="Arial" w:eastAsia="Arial" w:hAnsi="Arial"/>
                <w:sz w:val="16"/>
                <w:szCs w:val="16"/>
                <w:color w:val="auto"/>
              </w:rPr>
              <w:t>280,714</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17.3</w:t>
            </w:r>
          </w:p>
        </w:tc>
        <w:tc>
          <w:tcPr>
            <w:tcW w:w="180" w:type="dxa"/>
            <w:vAlign w:val="bottom"/>
          </w:tcPr>
          <w:p>
            <w:pPr>
              <w:jc w:val="right"/>
              <w:spacing w:after="0" w:line="160"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9"/>
        </w:trPr>
        <w:tc>
          <w:tcPr>
            <w:tcW w:w="1240" w:type="dxa"/>
            <w:vAlign w:val="bottom"/>
          </w:tcPr>
          <w:p>
            <w:pPr>
              <w:ind w:left="20"/>
              <w:spacing w:after="0"/>
              <w:rPr>
                <w:sz w:val="20"/>
                <w:szCs w:val="20"/>
                <w:color w:val="auto"/>
              </w:rPr>
            </w:pPr>
            <w:r>
              <w:rPr>
                <w:rFonts w:ascii="Arial" w:cs="Arial" w:eastAsia="Arial" w:hAnsi="Arial"/>
                <w:sz w:val="16"/>
                <w:szCs w:val="16"/>
                <w:color w:val="auto"/>
              </w:rPr>
              <w:t>Reported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(37,073)</w:t>
            </w: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(4.9)</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(43,218)</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(5.0)</w:t>
            </w:r>
          </w:p>
        </w:tc>
        <w:tc>
          <w:tcPr>
            <w:tcW w:w="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(80,292)</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1"/>
        </w:trPr>
        <w:tc>
          <w:tcPr>
            <w:tcW w:w="1240" w:type="dxa"/>
            <w:vAlign w:val="bottom"/>
          </w:tcPr>
          <w:p>
            <w:pPr>
              <w:ind w:left="320"/>
              <w:spacing w:after="0"/>
              <w:rPr>
                <w:sz w:val="20"/>
                <w:szCs w:val="20"/>
                <w:color w:val="auto"/>
              </w:rPr>
            </w:pPr>
            <w:r>
              <w:rPr>
                <w:rFonts w:ascii="Arial" w:cs="Arial" w:eastAsia="Arial" w:hAnsi="Arial"/>
                <w:sz w:val="16"/>
                <w:szCs w:val="16"/>
                <w:color w:val="auto"/>
              </w:rPr>
              <w:t>As Revised</w:t>
            </w:r>
          </w:p>
        </w:tc>
        <w:tc>
          <w:tcPr>
            <w:tcW w:w="40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97,841</w:t>
            </w: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12.9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102,581</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11.9</w:t>
            </w:r>
          </w:p>
        </w:tc>
        <w:tc>
          <w:tcPr>
            <w:tcW w:w="3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200,422</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There was no impact to the Company’s consolidated balance sheets, consolidated statements of comprehensive income (loss) or the consolidated statements of cash flows for any of these periods.</w:t>
      </w:r>
    </w:p>
    <w:p>
      <w:pPr>
        <w:spacing w:after="0" w:line="192" w:lineRule="exact"/>
        <w:rPr>
          <w:sz w:val="20"/>
          <w:szCs w:val="20"/>
          <w:color w:val="auto"/>
        </w:rPr>
      </w:pPr>
    </w:p>
    <w:p>
      <w:pPr>
        <w:ind w:right="240" w:firstLine="310"/>
        <w:spacing w:after="0" w:line="272" w:lineRule="auto"/>
        <w:rPr>
          <w:sz w:val="20"/>
          <w:szCs w:val="20"/>
          <w:color w:val="auto"/>
        </w:rPr>
      </w:pPr>
      <w:r>
        <w:rPr>
          <w:rFonts w:ascii="Arial" w:cs="Arial" w:eastAsia="Arial" w:hAnsi="Arial"/>
          <w:sz w:val="17"/>
          <w:szCs w:val="17"/>
          <w:b w:val="1"/>
          <w:bCs w:val="1"/>
          <w:color w:val="auto"/>
        </w:rPr>
        <w:t xml:space="preserve">Concentrations of Business Risk </w:t>
      </w:r>
      <w:r>
        <w:rPr>
          <w:rFonts w:ascii="Arial" w:cs="Arial" w:eastAsia="Arial" w:hAnsi="Arial"/>
          <w:sz w:val="17"/>
          <w:szCs w:val="17"/>
          <w:color w:val="auto"/>
        </w:rPr>
        <w:t>— The Company generates revenue from managed care contracts and other agreements with commercial third-party</w:t>
      </w:r>
      <w:r>
        <w:rPr>
          <w:rFonts w:ascii="Arial" w:cs="Arial" w:eastAsia="Arial" w:hAnsi="Arial"/>
          <w:sz w:val="17"/>
          <w:szCs w:val="17"/>
          <w:b w:val="1"/>
          <w:bCs w:val="1"/>
          <w:color w:val="auto"/>
        </w:rPr>
        <w:t xml:space="preserve"> </w:t>
      </w:r>
      <w:r>
        <w:rPr>
          <w:rFonts w:ascii="Arial" w:cs="Arial" w:eastAsia="Arial" w:hAnsi="Arial"/>
          <w:sz w:val="17"/>
          <w:szCs w:val="17"/>
          <w:color w:val="auto"/>
        </w:rPr>
        <w:t>payers. Revenue related to the Company’s largest payer was approximately 15% and 16% for the three months March 31, 2022 and 2021. There were no other managed care contracts that represent greater than 10% of revenue for the periods presented.</w:t>
      </w:r>
    </w:p>
    <w:p>
      <w:pPr>
        <w:spacing w:after="0" w:line="130" w:lineRule="exact"/>
        <w:rPr>
          <w:sz w:val="20"/>
          <w:szCs w:val="20"/>
          <w:color w:val="auto"/>
        </w:rPr>
      </w:pPr>
    </w:p>
    <w:p>
      <w:pPr>
        <w:ind w:right="80" w:firstLine="310"/>
        <w:spacing w:after="0" w:line="261" w:lineRule="auto"/>
        <w:rPr>
          <w:sz w:val="20"/>
          <w:szCs w:val="20"/>
          <w:color w:val="auto"/>
        </w:rPr>
      </w:pPr>
      <w:r>
        <w:rPr>
          <w:rFonts w:ascii="Arial" w:cs="Arial" w:eastAsia="Arial" w:hAnsi="Arial"/>
          <w:sz w:val="17"/>
          <w:szCs w:val="17"/>
          <w:color w:val="auto"/>
        </w:rPr>
        <w:t>For the three months March 31, 2022 and 2021, approximately 13% and 13%, respectively, of the Company’s revenue was reimbursable through direct government healthcare programs, such as Medicare and Medicaid. As of March 31, 2022 and December 31, 2021, approximately 11% and 11%,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203" w:lineRule="exact"/>
        <w:rPr>
          <w:sz w:val="20"/>
          <w:szCs w:val="20"/>
          <w:color w:val="auto"/>
        </w:rPr>
      </w:pPr>
    </w:p>
    <w:p>
      <w:pPr>
        <w:ind w:right="20" w:firstLine="310"/>
        <w:spacing w:after="0" w:line="320" w:lineRule="auto"/>
        <w:rPr>
          <w:sz w:val="20"/>
          <w:szCs w:val="20"/>
          <w:color w:val="auto"/>
        </w:rPr>
      </w:pPr>
      <w:r>
        <w:rPr>
          <w:rFonts w:ascii="Arial" w:cs="Arial" w:eastAsia="Arial" w:hAnsi="Arial"/>
          <w:sz w:val="15"/>
          <w:szCs w:val="15"/>
          <w:color w:val="auto"/>
        </w:rPr>
        <w:t>The Company does not require its patients nor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11" w:lineRule="exact"/>
        <w:rPr>
          <w:sz w:val="20"/>
          <w:szCs w:val="20"/>
          <w:color w:val="auto"/>
        </w:rPr>
      </w:pPr>
    </w:p>
    <w:p>
      <w:pPr>
        <w:ind w:firstLine="310"/>
        <w:spacing w:after="0" w:line="259" w:lineRule="auto"/>
        <w:rPr>
          <w:sz w:val="20"/>
          <w:szCs w:val="20"/>
          <w:color w:val="auto"/>
        </w:rPr>
      </w:pPr>
      <w:r>
        <w:rPr>
          <w:rFonts w:ascii="Arial" w:cs="Arial" w:eastAsia="Arial" w:hAnsi="Arial"/>
          <w:sz w:val="17"/>
          <w:szCs w:val="17"/>
          <w:color w:val="auto"/>
        </w:rPr>
        <w:t>For the three months March 31, 2022, approximately 75% of the Company’s pharmaceutical and medical supply purchases were from four vendors. For the three months March 31, 2021, approximately 67%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remains some uncertainty regarding the COVID-19 pandemic, as of March 31, 2022 the Company has been able to maintain adequate levels of supplies and pharmaceuticals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BUSINESS COMBINATIONS AND ASSET ACQUISITIONS</w:t>
      </w:r>
    </w:p>
    <w:p>
      <w:pPr>
        <w:spacing w:after="0" w:line="192" w:lineRule="exact"/>
        <w:rPr>
          <w:sz w:val="20"/>
          <w:szCs w:val="20"/>
          <w:color w:val="auto"/>
        </w:rPr>
      </w:pPr>
    </w:p>
    <w:p>
      <w:pPr>
        <w:jc w:val="both"/>
        <w:ind w:right="540"/>
        <w:spacing w:after="0" w:line="296" w:lineRule="auto"/>
        <w:rPr>
          <w:sz w:val="20"/>
          <w:szCs w:val="20"/>
          <w:color w:val="auto"/>
        </w:rPr>
      </w:pPr>
      <w:r>
        <w:rPr>
          <w:rFonts w:ascii="Arial" w:cs="Arial" w:eastAsia="Arial" w:hAnsi="Arial"/>
          <w:sz w:val="16"/>
          <w:szCs w:val="16"/>
          <w:b w:val="1"/>
          <w:bCs w:val="1"/>
          <w:color w:val="auto"/>
        </w:rPr>
        <w:t xml:space="preserve">Infinity Infusion Nursing LLC — </w:t>
      </w:r>
      <w:r>
        <w:rPr>
          <w:rFonts w:ascii="Arial" w:cs="Arial" w:eastAsia="Arial" w:hAnsi="Arial"/>
          <w:sz w:val="16"/>
          <w:szCs w:val="16"/>
          <w:color w:val="auto"/>
        </w:rPr>
        <w:t>In October 2021, pursuant to the equity purchase agreement dated October 1, 2021, the Company completed the 100%</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of the equity interest in Infinity Infusion LLC (“Infinity”) for a purchase price, net of cash acquired of $59.6 million. As of March 31, 2022, the Company has finalized the purchase price allocation of the acquisition and no purchase accounting adjustments were made.</w:t>
      </w:r>
    </w:p>
    <w:p>
      <w:pPr>
        <w:spacing w:after="0" w:line="107"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b w:val="1"/>
          <w:bCs w:val="1"/>
          <w:color w:val="auto"/>
        </w:rPr>
        <w:t xml:space="preserve">Wasatch Infusion LLC Acquisition — </w:t>
      </w:r>
      <w:r>
        <w:rPr>
          <w:rFonts w:ascii="Arial" w:cs="Arial" w:eastAsia="Arial" w:hAnsi="Arial"/>
          <w:sz w:val="15"/>
          <w:szCs w:val="15"/>
          <w:color w:val="auto"/>
        </w:rPr>
        <w:t>In December 2021, pursuant to the executed asset purchase agreement on December 29, 2021, the Company completed</w:t>
      </w:r>
      <w:r>
        <w:rPr>
          <w:rFonts w:ascii="Arial" w:cs="Arial" w:eastAsia="Arial" w:hAnsi="Arial"/>
          <w:sz w:val="15"/>
          <w:szCs w:val="15"/>
          <w:b w:val="1"/>
          <w:bCs w:val="1"/>
          <w:color w:val="auto"/>
        </w:rPr>
        <w:t xml:space="preserve"> </w:t>
      </w:r>
      <w:r>
        <w:rPr>
          <w:rFonts w:ascii="Arial" w:cs="Arial" w:eastAsia="Arial" w:hAnsi="Arial"/>
          <w:sz w:val="15"/>
          <w:szCs w:val="15"/>
          <w:color w:val="auto"/>
        </w:rPr>
        <w:t>the acquisition of Wasatch Infusion LLC (“Wasatch”) for a purchase price of $19.5 million. As of March 31, 2022, the Company has finalized the purchase price allocation of the acquisition. Certain adjustments were made to preliminary valuation amounts related to accounts receivable, other assets and other assumed liabilities. The following is a final allocation of the consideration transferred to acquired identifiable assets and assumed liabilities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Amount</w:t>
            </w:r>
          </w:p>
        </w:tc>
      </w:tr>
      <w:tr>
        <w:trPr>
          <w:trHeight w:val="180"/>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46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w:t>
            </w:r>
          </w:p>
        </w:tc>
      </w:tr>
      <w:tr>
        <w:trPr>
          <w:trHeight w:val="178"/>
        </w:trPr>
        <w:tc>
          <w:tcPr>
            <w:tcW w:w="906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2,038</w:t>
            </w:r>
          </w:p>
        </w:tc>
      </w:tr>
      <w:tr>
        <w:trPr>
          <w:trHeight w:val="184"/>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w:t>
            </w:r>
          </w:p>
        </w:tc>
      </w:tr>
      <w:tr>
        <w:trPr>
          <w:trHeight w:val="178"/>
        </w:trPr>
        <w:tc>
          <w:tcPr>
            <w:tcW w:w="90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184"/>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(6,686)</w:t>
            </w:r>
          </w:p>
        </w:tc>
      </w:tr>
      <w:tr>
        <w:trPr>
          <w:trHeight w:val="178"/>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assumed liabilities</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w:t>
            </w:r>
          </w:p>
        </w:tc>
      </w:tr>
      <w:tr>
        <w:trPr>
          <w:trHeight w:val="177"/>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Identifiable assets and liabilities</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2,089</w:t>
            </w:r>
          </w:p>
        </w:tc>
      </w:tr>
      <w:tr>
        <w:trPr>
          <w:trHeight w:val="178"/>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 (1)</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17,366</w:t>
            </w:r>
          </w:p>
        </w:tc>
      </w:tr>
      <w:tr>
        <w:trPr>
          <w:trHeight w:val="202"/>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4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560" w:hanging="247"/>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Goodwill is attributable to cost synergies from procurement and operational efficiencies and elimination of duplicative administrative costs.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net revenue earned by category of payer for the three months March 31, 2022 and 2021 (in thousands):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754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75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786,278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2"/>
              </w:rPr>
              <w:t>648,507</w:t>
            </w:r>
          </w:p>
        </w:tc>
        <w:tc>
          <w:tcPr>
            <w:tcW w:w="80" w:type="dxa"/>
            <w:vAlign w:val="bottom"/>
            <w:shd w:val="clear" w:color="auto" w:fill="CCEEFF"/>
          </w:tcPr>
          <w:p>
            <w:pPr>
              <w:spacing w:after="0"/>
              <w:rPr>
                <w:sz w:val="17"/>
                <w:szCs w:val="17"/>
                <w:color w:val="auto"/>
              </w:rPr>
            </w:pPr>
          </w:p>
        </w:tc>
      </w:tr>
      <w:tr>
        <w:trPr>
          <w:trHeight w:val="204"/>
        </w:trPr>
        <w:tc>
          <w:tcPr>
            <w:tcW w:w="754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115,205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w w:val="98"/>
              </w:rPr>
              <w:t>97,841</w:t>
            </w:r>
          </w:p>
        </w:tc>
        <w:tc>
          <w:tcPr>
            <w:tcW w:w="80" w:type="dxa"/>
            <w:vAlign w:val="bottom"/>
          </w:tcPr>
          <w:p>
            <w:pPr>
              <w:spacing w:after="0"/>
              <w:rPr>
                <w:sz w:val="17"/>
                <w:szCs w:val="17"/>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14,301</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8"/>
              </w:rPr>
              <w:t>12,889</w:t>
            </w:r>
          </w:p>
        </w:tc>
        <w:tc>
          <w:tcPr>
            <w:tcW w:w="80" w:type="dxa"/>
            <w:vAlign w:val="bottom"/>
            <w:shd w:val="clear" w:color="auto" w:fill="CCEEFF"/>
          </w:tcPr>
          <w:p>
            <w:pPr>
              <w:spacing w:after="0"/>
              <w:rPr>
                <w:sz w:val="17"/>
                <w:szCs w:val="17"/>
                <w:color w:val="auto"/>
              </w:rPr>
            </w:pPr>
          </w:p>
        </w:tc>
      </w:tr>
      <w:tr>
        <w:trPr>
          <w:trHeight w:val="202"/>
        </w:trPr>
        <w:tc>
          <w:tcPr>
            <w:tcW w:w="754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915,784</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6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2"/>
              </w:rPr>
              <w:t>759,237</w:t>
            </w:r>
          </w:p>
        </w:tc>
        <w:tc>
          <w:tcPr>
            <w:tcW w:w="8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72" w:lineRule="exact"/>
        <w:rPr>
          <w:sz w:val="20"/>
          <w:szCs w:val="20"/>
          <w:color w:val="auto"/>
        </w:rPr>
      </w:pPr>
    </w:p>
    <w:p>
      <w:pPr>
        <w:ind w:right="20" w:firstLine="310"/>
        <w:spacing w:after="0" w:line="264" w:lineRule="auto"/>
        <w:rPr>
          <w:sz w:val="20"/>
          <w:szCs w:val="20"/>
          <w:color w:val="auto"/>
        </w:rPr>
      </w:pPr>
      <w:r>
        <w:rPr>
          <w:rFonts w:ascii="Arial" w:cs="Arial" w:eastAsia="Arial" w:hAnsi="Arial"/>
          <w:sz w:val="15"/>
          <w:szCs w:val="15"/>
          <w:color w:val="auto"/>
        </w:rPr>
        <w:t>During the three months ended March 31, 2022 and 2021, the Company recorded tax expense of $11.0 million and $1.3 million, respectively, which represents an effective tax rate of 26.6% and negative 80.7%, respectively. The variance in the Company’s effective tax rate of 26.6% for the three months ended March 31, 2022 compared to the Company’s Federal statutory rate of 21% is primarily attributable to current and deferred state taxes as well as various non-deductible expenses. The variance in the Company’s effective tax rate of negative 80.7% for the three months ended March 31, 2021 compared to the Company’s Federal statutory rate of 21% is primarily attributable to the Company only recognizing certain deferred federal and state tax expense and current state tax expense while any tax benefits that would have otherwise been recognized were offset by the Company’s tax valuation allowance in effect during that period.</w:t>
      </w:r>
    </w:p>
    <w:p>
      <w:pPr>
        <w:spacing w:after="0" w:line="192" w:lineRule="exact"/>
        <w:rPr>
          <w:sz w:val="20"/>
          <w:szCs w:val="20"/>
          <w:color w:val="auto"/>
        </w:rPr>
      </w:pPr>
    </w:p>
    <w:p>
      <w:pPr>
        <w:ind w:right="80" w:firstLine="310"/>
        <w:spacing w:after="0" w:line="259" w:lineRule="auto"/>
        <w:rPr>
          <w:sz w:val="20"/>
          <w:szCs w:val="20"/>
          <w:color w:val="auto"/>
        </w:rPr>
      </w:pPr>
      <w:r>
        <w:rPr>
          <w:rFonts w:ascii="Arial" w:cs="Arial" w:eastAsia="Arial" w:hAnsi="Arial"/>
          <w:sz w:val="17"/>
          <w:szCs w:val="17"/>
          <w:color w:val="auto"/>
        </w:rPr>
        <w:t>The Company maintains a valuation allowance of $13.2 million against certain state net operating losses (“NOL”).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94" w:lineRule="exact"/>
        <w:rPr>
          <w:sz w:val="20"/>
          <w:szCs w:val="20"/>
          <w:color w:val="auto"/>
        </w:rPr>
      </w:pPr>
    </w:p>
    <w:p>
      <w:pPr>
        <w:ind w:firstLine="310"/>
        <w:spacing w:after="0" w:line="237" w:lineRule="auto"/>
        <w:rPr>
          <w:sz w:val="20"/>
          <w:szCs w:val="20"/>
          <w:color w:val="auto"/>
        </w:rPr>
      </w:pPr>
      <w:r>
        <w:rPr>
          <w:rFonts w:ascii="Arial" w:cs="Arial" w:eastAsia="Arial" w:hAnsi="Arial"/>
          <w:sz w:val="17"/>
          <w:szCs w:val="17"/>
          <w:color w:val="auto"/>
        </w:rPr>
        <w:t>The Company’s tax expense for the three months ended March 31, 2022 of $11.0 million consists of quarterly tax liabilities attributable to specific state taxing authorities as well as recognized deferred federal and state tax expense. The company’s tax expense for the three months ended March 31, 2021 of $1.3 million consists of quarterly tax liabilities attributed to specific state taxing authorities as well as recognized deferred tax expense.</w:t>
      </w:r>
    </w:p>
    <w:p>
      <w:pPr>
        <w:spacing w:after="0" w:line="196" w:lineRule="exact"/>
        <w:rPr>
          <w:sz w:val="20"/>
          <w:szCs w:val="20"/>
          <w:color w:val="auto"/>
        </w:rPr>
      </w:pPr>
    </w:p>
    <w:p>
      <w:pPr>
        <w:ind w:right="740" w:firstLine="310"/>
        <w:spacing w:after="0" w:line="251" w:lineRule="auto"/>
        <w:rPr>
          <w:sz w:val="20"/>
          <w:szCs w:val="20"/>
          <w:color w:val="auto"/>
        </w:rPr>
      </w:pPr>
      <w:r>
        <w:rPr>
          <w:rFonts w:ascii="Arial" w:cs="Arial" w:eastAsia="Arial" w:hAnsi="Arial"/>
          <w:sz w:val="17"/>
          <w:szCs w:val="17"/>
          <w:color w:val="auto"/>
        </w:rPr>
        <w:t>The Company has accumulated U.S. federal net operating loss carryovers that are subject to one or more Section 382 limitations. This may limit the Company’s ability to utilize its U.S.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EARNINGS (LOSS) PER SHARE</w:t>
      </w:r>
    </w:p>
    <w:p>
      <w:pPr>
        <w:spacing w:after="0" w:line="198" w:lineRule="exact"/>
        <w:rPr>
          <w:sz w:val="20"/>
          <w:szCs w:val="20"/>
          <w:color w:val="auto"/>
        </w:rPr>
      </w:pPr>
    </w:p>
    <w:p>
      <w:pPr>
        <w:ind w:right="360" w:firstLine="310"/>
        <w:spacing w:after="0" w:line="263" w:lineRule="auto"/>
        <w:rPr>
          <w:sz w:val="20"/>
          <w:szCs w:val="20"/>
          <w:color w:val="auto"/>
        </w:rPr>
      </w:pPr>
      <w:r>
        <w:rPr>
          <w:rFonts w:ascii="Arial" w:cs="Arial" w:eastAsia="Arial" w:hAnsi="Arial"/>
          <w:sz w:val="17"/>
          <w:szCs w:val="17"/>
          <w:color w:val="auto"/>
        </w:rPr>
        <w:t>The Company presents basic and diluted earnings (loss) per share for its common stock. Basic earnings (loss) per share is calculated by dividing the net income (loss) of the Company by the weighted average number of shares of common stock outstanding during the period. Diluted earnings (loss) per share is determined by adjusting the profit or loss and the weighted average number of shares of common stock outstanding for the effects of all potentially dilutive securities.</w:t>
      </w:r>
    </w:p>
    <w:p>
      <w:pPr>
        <w:spacing w:after="0" w:line="177" w:lineRule="exact"/>
        <w:rPr>
          <w:sz w:val="20"/>
          <w:szCs w:val="20"/>
          <w:color w:val="auto"/>
        </w:rPr>
      </w:pPr>
    </w:p>
    <w:p>
      <w:pPr>
        <w:ind w:firstLine="310"/>
        <w:spacing w:after="0" w:line="260" w:lineRule="auto"/>
        <w:rPr>
          <w:sz w:val="20"/>
          <w:szCs w:val="20"/>
          <w:color w:val="auto"/>
        </w:rPr>
      </w:pPr>
      <w:r>
        <w:rPr>
          <w:rFonts w:ascii="Arial" w:cs="Arial" w:eastAsia="Arial" w:hAnsi="Arial"/>
          <w:sz w:val="16"/>
          <w:szCs w:val="16"/>
          <w:color w:val="auto"/>
        </w:rPr>
        <w:t>The earnings (loss) is used as the basis of determining whether the inclusion of common stock equivalents would be anti-dilutive. The computation of diluted shares for the three months March 31, 2022 includes the effect of shares that would be issued in connection with warrants, stock options and restricted stock awards, as these common stock equivalents are dilutive to the earnings per share recorded in those periods. The computation of diluted shares for the three months ended March 31, 2021 excludes the effect of these common stock equivalents as their inclusion would be anti-dilutive to the loss per share recorded in the period. As of March 31, 2022 there were 457,752 warrants, 770,303 stock option awards, and 269,670 restricted stock awards outstanding that were excluded from the calculation of earnings per share as they would be anti-dilutive. As of March 31, 2021, there were 2,285,784 warrants, 789,586 stock options and 1,080,334 restricted stock awards outstanding that were excluded from the calculation of earnings per share as they would be anti-dilutive.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basic earnings (loss) per share and shares outstanding (in thousands, except per share data):</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7720" w:type="dxa"/>
            <w:vAlign w:val="bottom"/>
          </w:tcPr>
          <w:p>
            <w:pPr>
              <w:spacing w:after="0"/>
              <w:rPr>
                <w:sz w:val="17"/>
                <w:szCs w:val="17"/>
                <w:color w:val="auto"/>
              </w:rPr>
            </w:pPr>
          </w:p>
        </w:tc>
        <w:tc>
          <w:tcPr>
            <w:tcW w:w="3140" w:type="dxa"/>
            <w:vAlign w:val="bottom"/>
            <w:tcBorders>
              <w:bottom w:val="single" w:sz="8" w:color="auto"/>
            </w:tcBorders>
            <w:gridSpan w:val="5"/>
          </w:tcPr>
          <w:p>
            <w:pPr>
              <w:jc w:val="right"/>
              <w:ind w:right="42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98"/>
        </w:trPr>
        <w:tc>
          <w:tcPr>
            <w:tcW w:w="77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179,961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179,808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common share, basic</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diluted earnings (loss) per share and shares outstanding (in thousands, except per share data):</w:t>
      </w:r>
    </w:p>
    <w:p>
      <w:pPr>
        <w:spacing w:after="0" w:line="216"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ectPr>
          <w:pgSz w:w="11900" w:h="16838" w:orient="portrait"/>
          <w:cols w:equalWidth="0" w:num="1">
            <w:col w:w="11200"/>
          </w:cols>
          <w:pgMar w:left="320" w:top="122" w:right="379" w:bottom="1440" w:gutter="0" w:footer="0" w:header="0"/>
        </w:sect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6900545" cy="147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0545" cy="147955"/>
                    </a:xfrm>
                    <a:prstGeom prst="rect">
                      <a:avLst/>
                    </a:prstGeom>
                    <a:noFill/>
                  </pic:spPr>
                </pic:pic>
              </a:graphicData>
            </a:graphic>
          </wp:anchor>
        </w:drawing>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income (loss)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6900545" cy="131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0545" cy="13144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Weighted average number of common shares outstanding</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6900545" cy="155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0545" cy="155575"/>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Weighted average number of common shares outstanding, diluted</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Earnings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6900545" cy="147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0545" cy="147955"/>
                    </a:xfrm>
                    <a:prstGeom prst="rect">
                      <a:avLst/>
                    </a:prstGeom>
                    <a:noFill/>
                  </pic:spPr>
                </pic:pic>
              </a:graphicData>
            </a:graphic>
          </wp:anchor>
        </w:drawing>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Earnings (loss) per common share,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r>
      <w:tr>
        <w:trPr>
          <w:trHeight w:val="392"/>
        </w:trPr>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75"/>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179,961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179,808</w:t>
            </w:r>
          </w:p>
        </w:tc>
      </w:tr>
      <w:tr>
        <w:trPr>
          <w:trHeight w:val="210"/>
        </w:trPr>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181,681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179,808</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78"/>
        </w:trPr>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720"/>
            <w:col w:w="3160"/>
          </w:cols>
          <w:pgMar w:left="320" w:top="122" w:right="379" w:bottom="1440" w:gutter="0" w:footer="0" w:header="0"/>
          <w:type w:val="continuous"/>
        </w:sectPr>
      </w:pPr>
    </w:p>
    <w:p>
      <w:pPr>
        <w:spacing w:after="0" w:line="30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121" w:lineRule="exact"/>
        <w:rPr>
          <w:sz w:val="20"/>
          <w:szCs w:val="20"/>
          <w:color w:val="auto"/>
        </w:rPr>
      </w:pPr>
    </w:p>
    <w:p>
      <w:pPr>
        <w:ind w:firstLine="310"/>
        <w:spacing w:after="0" w:line="263" w:lineRule="auto"/>
        <w:rPr>
          <w:sz w:val="20"/>
          <w:szCs w:val="20"/>
          <w:color w:val="auto"/>
        </w:rPr>
      </w:pPr>
      <w:r>
        <w:rPr>
          <w:rFonts w:ascii="Arial" w:cs="Arial" w:eastAsia="Arial" w:hAnsi="Arial"/>
          <w:sz w:val="17"/>
          <w:szCs w:val="17"/>
          <w:color w:val="auto"/>
        </w:rPr>
        <w:t>During the three months March 31, 2022 and 2021, the Company incurred operating lease expenses of $7.3 million and $7.5 million, respectively, including short-term lease expense, which were included as a component of selling, general and administrative expense in the unaudited condensed consolidated statements of comprehensive income (loss). As of March 31, 2022, the weighted-average remaining lease term was 6.9 years and the weighted-average discount rate was 5.09%.</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Operating leases mature as follows (in thousands):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180" w:type="dxa"/>
            <w:vAlign w:val="bottom"/>
            <w:gridSpan w:val="2"/>
          </w:tcPr>
          <w:p>
            <w:pPr>
              <w:ind w:left="960"/>
              <w:spacing w:after="0"/>
              <w:rPr>
                <w:sz w:val="20"/>
                <w:szCs w:val="20"/>
                <w:color w:val="auto"/>
              </w:rPr>
            </w:pPr>
            <w:r>
              <w:rPr>
                <w:rFonts w:ascii="Arial" w:cs="Arial" w:eastAsia="Arial" w:hAnsi="Arial"/>
                <w:sz w:val="16"/>
                <w:szCs w:val="16"/>
                <w:b w:val="1"/>
                <w:bCs w:val="1"/>
                <w:color w:val="auto"/>
              </w:rPr>
              <w:t>Fiscal Year Ended December 31,</w:t>
            </w:r>
          </w:p>
        </w:tc>
        <w:tc>
          <w:tcPr>
            <w:tcW w:w="240" w:type="dxa"/>
            <w:vAlign w:val="bottom"/>
          </w:tcPr>
          <w:p>
            <w:pPr>
              <w:spacing w:after="0"/>
              <w:rPr>
                <w:sz w:val="17"/>
                <w:szCs w:val="17"/>
                <w:color w:val="auto"/>
              </w:rPr>
            </w:pPr>
          </w:p>
        </w:tc>
        <w:tc>
          <w:tcPr>
            <w:tcW w:w="1920" w:type="dxa"/>
            <w:vAlign w:val="bottom"/>
          </w:tcPr>
          <w:p>
            <w:pPr>
              <w:jc w:val="right"/>
              <w:ind w:right="322"/>
              <w:spacing w:after="0"/>
              <w:rPr>
                <w:sz w:val="20"/>
                <w:szCs w:val="20"/>
                <w:color w:val="auto"/>
              </w:rPr>
            </w:pPr>
            <w:r>
              <w:rPr>
                <w:rFonts w:ascii="Arial" w:cs="Arial" w:eastAsia="Arial" w:hAnsi="Arial"/>
                <w:sz w:val="16"/>
                <w:szCs w:val="16"/>
                <w:b w:val="1"/>
                <w:bCs w:val="1"/>
                <w:color w:val="auto"/>
                <w:w w:val="99"/>
              </w:rPr>
              <w:t>Minimum Payments</w:t>
            </w:r>
          </w:p>
        </w:tc>
      </w:tr>
      <w:tr>
        <w:trPr>
          <w:trHeight w:val="200"/>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19,872</w:t>
            </w: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20,992</w:t>
            </w:r>
          </w:p>
        </w:tc>
      </w:tr>
      <w:tr>
        <w:trPr>
          <w:trHeight w:val="204"/>
        </w:trPr>
        <w:tc>
          <w:tcPr>
            <w:tcW w:w="406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15,416</w:t>
            </w: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12,682</w:t>
            </w:r>
          </w:p>
        </w:tc>
      </w:tr>
      <w:tr>
        <w:trPr>
          <w:trHeight w:val="204"/>
        </w:trPr>
        <w:tc>
          <w:tcPr>
            <w:tcW w:w="4060" w:type="dxa"/>
            <w:vAlign w:val="bottom"/>
          </w:tcPr>
          <w:p>
            <w:pPr>
              <w:ind w:left="2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9,697</w:t>
            </w:r>
          </w:p>
        </w:tc>
      </w:tr>
      <w:tr>
        <w:trPr>
          <w:trHeight w:val="21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34,371</w:t>
            </w:r>
          </w:p>
        </w:tc>
      </w:tr>
      <w:tr>
        <w:trPr>
          <w:trHeight w:val="197"/>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113,030</w:t>
            </w:r>
          </w:p>
        </w:tc>
      </w:tr>
      <w:tr>
        <w:trPr>
          <w:trHeight w:val="20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(18,862)</w:t>
            </w:r>
          </w:p>
        </w:tc>
      </w:tr>
      <w:tr>
        <w:trPr>
          <w:trHeight w:val="202"/>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94,168</w:t>
            </w: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firstLine="310"/>
        <w:spacing w:after="0" w:line="292" w:lineRule="auto"/>
        <w:rPr>
          <w:sz w:val="20"/>
          <w:szCs w:val="20"/>
          <w:color w:val="auto"/>
        </w:rPr>
      </w:pPr>
      <w:r>
        <w:rPr>
          <w:rFonts w:ascii="Arial" w:cs="Arial" w:eastAsia="Arial" w:hAnsi="Arial"/>
          <w:sz w:val="16"/>
          <w:szCs w:val="16"/>
          <w:color w:val="auto"/>
        </w:rPr>
        <w:t>During the three months March 31, 2022, the Company commenced new leases, extensions and amendments, resulting in non-cash operating activities in the unaudited condensed consolidated statements of cash flow of $3.8 million related to increases in the operating lease right-of-use asset and operating lease liabilities, respectively. As of March 31, 2022,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AND EQUIPMENT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and equipment was as follows as of March 31, 2022 and December 31, 2021 (in thousands):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2022</w:t>
            </w:r>
          </w:p>
        </w:tc>
        <w:tc>
          <w:tcPr>
            <w:tcW w:w="260" w:type="dxa"/>
            <w:vAlign w:val="bottom"/>
          </w:tcPr>
          <w:p>
            <w:pPr>
              <w:spacing w:after="0"/>
              <w:rPr>
                <w:sz w:val="17"/>
                <w:szCs w:val="17"/>
                <w:color w:val="auto"/>
              </w:rPr>
            </w:pPr>
          </w:p>
        </w:tc>
        <w:tc>
          <w:tcPr>
            <w:tcW w:w="1860" w:type="dxa"/>
            <w:vAlign w:val="bottom"/>
          </w:tcPr>
          <w:p>
            <w:pPr>
              <w:jc w:val="right"/>
              <w:ind w:right="362"/>
              <w:spacing w:after="0"/>
              <w:rPr>
                <w:sz w:val="20"/>
                <w:szCs w:val="20"/>
                <w:color w:val="auto"/>
              </w:rPr>
            </w:pPr>
            <w:r>
              <w:rPr>
                <w:rFonts w:ascii="Arial" w:cs="Arial" w:eastAsia="Arial" w:hAnsi="Arial"/>
                <w:sz w:val="16"/>
                <w:szCs w:val="16"/>
                <w:b w:val="1"/>
                <w:bCs w:val="1"/>
                <w:color w:val="auto"/>
                <w:w w:val="97"/>
              </w:rPr>
              <w:t>December 31, 2021</w:t>
            </w:r>
          </w:p>
        </w:tc>
      </w:tr>
      <w:tr>
        <w:trPr>
          <w:trHeight w:val="202"/>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36,995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34,547</w:t>
            </w: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3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55,267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52,913</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92,229</w:t>
            </w: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3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32,764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30,744</w:t>
            </w: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3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19,924</w:t>
            </w:r>
          </w:p>
        </w:tc>
      </w:tr>
      <w:tr>
        <w:trPr>
          <w:trHeight w:val="200"/>
        </w:trPr>
        <w:tc>
          <w:tcPr>
            <w:tcW w:w="6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235,945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230,357</w:t>
            </w: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126,879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118,822</w:t>
            </w:r>
          </w:p>
        </w:tc>
      </w:tr>
      <w:tr>
        <w:trPr>
          <w:trHeight w:val="202"/>
        </w:trPr>
        <w:tc>
          <w:tcPr>
            <w:tcW w:w="65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109,066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111,535</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100" w:firstLine="310"/>
        <w:spacing w:after="0" w:line="261"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months March 31, 2022 and 2021 (in thousands):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200"/>
        </w:trPr>
        <w:tc>
          <w:tcPr>
            <w:tcW w:w="76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204"/>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7,188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7,598</w:t>
            </w:r>
          </w:p>
        </w:tc>
      </w:tr>
      <w:tr>
        <w:trPr>
          <w:trHeight w:val="22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8,445</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OTHER INTANGIBLE ASSETS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the carrying amount of goodwill consists of the following activity for the three months ended March 31, 2022 (in thousands):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December 31, 2021</w:t>
            </w:r>
          </w:p>
        </w:tc>
        <w:tc>
          <w:tcPr>
            <w:tcW w:w="8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1,477,564</w:t>
            </w:r>
          </w:p>
        </w:tc>
      </w:tr>
      <w:tr>
        <w:trPr>
          <w:trHeight w:val="210"/>
        </w:trPr>
        <w:tc>
          <w:tcPr>
            <w:tcW w:w="3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Purchase accounting adjustments</w:t>
            </w:r>
          </w:p>
        </w:tc>
        <w:tc>
          <w:tcPr>
            <w:tcW w:w="8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r>
      <w:tr>
        <w:trPr>
          <w:trHeight w:val="194"/>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March 31, 2022</w:t>
            </w:r>
          </w:p>
        </w:tc>
        <w:tc>
          <w:tcPr>
            <w:tcW w:w="8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1,478,500</w:t>
            </w:r>
          </w:p>
        </w:tc>
      </w:tr>
    </w:tbl>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changes in the carrying amount of goodwill for the three months March 31, 2021.</w:t>
      </w:r>
    </w:p>
    <w:p>
      <w:pPr>
        <w:spacing w:after="0" w:line="179" w:lineRule="exact"/>
        <w:rPr>
          <w:sz w:val="20"/>
          <w:szCs w:val="20"/>
          <w:color w:val="auto"/>
        </w:rPr>
      </w:pPr>
    </w:p>
    <w:p>
      <w:pPr>
        <w:ind w:right="820" w:firstLine="310"/>
        <w:spacing w:after="0" w:line="283" w:lineRule="auto"/>
        <w:rPr>
          <w:sz w:val="20"/>
          <w:szCs w:val="20"/>
          <w:color w:val="auto"/>
        </w:rPr>
      </w:pPr>
      <w:r>
        <w:rPr>
          <w:rFonts w:ascii="Arial" w:cs="Arial" w:eastAsia="Arial" w:hAnsi="Arial"/>
          <w:sz w:val="17"/>
          <w:szCs w:val="17"/>
          <w:color w:val="auto"/>
        </w:rPr>
        <w:t>The carrying amount and accumulated amortization of intangible assets consists of the following as of March 31, 2022 and December 31, 2021 (in thousands):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7"/>
                <w:szCs w:val="17"/>
                <w:color w:val="auto"/>
              </w:rPr>
            </w:pPr>
          </w:p>
        </w:tc>
        <w:tc>
          <w:tcPr>
            <w:tcW w:w="1760" w:type="dxa"/>
            <w:vAlign w:val="bottom"/>
          </w:tcPr>
          <w:p>
            <w:pPr>
              <w:jc w:val="right"/>
              <w:ind w:right="302"/>
              <w:spacing w:after="0"/>
              <w:rPr>
                <w:sz w:val="20"/>
                <w:szCs w:val="20"/>
                <w:color w:val="auto"/>
              </w:rPr>
            </w:pPr>
            <w:r>
              <w:rPr>
                <w:rFonts w:ascii="Arial" w:cs="Arial" w:eastAsia="Arial" w:hAnsi="Arial"/>
                <w:sz w:val="16"/>
                <w:szCs w:val="16"/>
                <w:b w:val="1"/>
                <w:bCs w:val="1"/>
                <w:color w:val="auto"/>
                <w:w w:val="94"/>
              </w:rPr>
              <w:t>December 31, 2021</w:t>
            </w:r>
          </w:p>
        </w:tc>
      </w:tr>
      <w:tr>
        <w:trPr>
          <w:trHeight w:val="19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intangible assets:</w:t>
            </w:r>
          </w:p>
        </w:tc>
        <w:tc>
          <w:tcPr>
            <w:tcW w:w="2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r>
      <w:tr>
        <w:trPr>
          <w:trHeight w:val="204"/>
        </w:trPr>
        <w:tc>
          <w:tcPr>
            <w:tcW w:w="6820" w:type="dxa"/>
            <w:vAlign w:val="bottom"/>
          </w:tcPr>
          <w:p>
            <w:pPr>
              <w:ind w:left="120"/>
              <w:spacing w:after="0"/>
              <w:rPr>
                <w:sz w:val="20"/>
                <w:szCs w:val="20"/>
                <w:color w:val="auto"/>
              </w:rPr>
            </w:pPr>
            <w:r>
              <w:rPr>
                <w:rFonts w:ascii="Arial" w:cs="Arial" w:eastAsia="Arial" w:hAnsi="Arial"/>
                <w:sz w:val="16"/>
                <w:szCs w:val="16"/>
                <w:color w:val="auto"/>
              </w:rPr>
              <w:t>Referral sources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482,407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482,200</w:t>
            </w:r>
          </w:p>
        </w:tc>
      </w:tr>
      <w:tr>
        <w:trPr>
          <w:trHeight w:val="210"/>
        </w:trPr>
        <w:tc>
          <w:tcPr>
            <w:tcW w:w="6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Trademarks/names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47,718</w:t>
            </w:r>
          </w:p>
        </w:tc>
      </w:tr>
      <w:tr>
        <w:trPr>
          <w:trHeight w:val="204"/>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amortizable intangible assets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r>
      <w:tr>
        <w:trPr>
          <w:trHeight w:val="200"/>
        </w:trPr>
        <w:tc>
          <w:tcPr>
            <w:tcW w:w="6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gross intangible assets</w:t>
            </w:r>
          </w:p>
        </w:tc>
        <w:tc>
          <w:tcPr>
            <w:tcW w:w="2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530,955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530,955</w:t>
            </w:r>
          </w:p>
        </w:tc>
      </w:tr>
      <w:tr>
        <w:trPr>
          <w:trHeight w:val="241"/>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4"/>
        </w:trPr>
        <w:tc>
          <w:tcPr>
            <w:tcW w:w="6820" w:type="dxa"/>
            <w:vAlign w:val="bottom"/>
          </w:tcPr>
          <w:p>
            <w:pPr>
              <w:ind w:left="120"/>
              <w:spacing w:after="0"/>
              <w:rPr>
                <w:sz w:val="20"/>
                <w:szCs w:val="20"/>
                <w:color w:val="auto"/>
              </w:rPr>
            </w:pPr>
            <w:r>
              <w:rPr>
                <w:rFonts w:ascii="Arial" w:cs="Arial" w:eastAsia="Arial" w:hAnsi="Arial"/>
                <w:sz w:val="16"/>
                <w:szCs w:val="16"/>
                <w:color w:val="auto"/>
              </w:rPr>
              <w:t>Referral sources</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(144,525)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(137,613)</w:t>
            </w:r>
          </w:p>
        </w:tc>
      </w:tr>
      <w:tr>
        <w:trPr>
          <w:trHeight w:val="210"/>
        </w:trPr>
        <w:tc>
          <w:tcPr>
            <w:tcW w:w="6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Trademarks/names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(26,936)</w:t>
            </w:r>
          </w:p>
        </w:tc>
      </w:tr>
      <w:tr>
        <w:trPr>
          <w:trHeight w:val="204"/>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amortizable intangible assets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200"/>
        </w:trPr>
        <w:tc>
          <w:tcPr>
            <w:tcW w:w="6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accumulated amortization</w:t>
            </w:r>
          </w:p>
        </w:tc>
        <w:tc>
          <w:tcPr>
            <w:tcW w:w="2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(172,404)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(164,935)</w:t>
            </w:r>
          </w:p>
        </w:tc>
      </w:tr>
      <w:tr>
        <w:trPr>
          <w:trHeight w:val="202"/>
        </w:trPr>
        <w:tc>
          <w:tcPr>
            <w:tcW w:w="6820" w:type="dxa"/>
            <w:vAlign w:val="bottom"/>
          </w:tcPr>
          <w:p>
            <w:pPr>
              <w:ind w:left="20"/>
              <w:spacing w:after="0"/>
              <w:rPr>
                <w:sz w:val="20"/>
                <w:szCs w:val="20"/>
                <w:color w:val="auto"/>
              </w:rPr>
            </w:pPr>
            <w:r>
              <w:rPr>
                <w:rFonts w:ascii="Arial" w:cs="Arial" w:eastAsia="Arial" w:hAnsi="Arial"/>
                <w:sz w:val="16"/>
                <w:szCs w:val="16"/>
                <w:color w:val="auto"/>
              </w:rPr>
              <w:t>Total intangible assets, net</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358,551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366,020</w:t>
            </w: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for intangible assets was $7.5 million and $8.7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INDEBTEDNESS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Long-term debt consisted of the following as of March 31, 2022 (in thousands):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Principal Amount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Discount</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5"/>
              </w:rPr>
              <w:t>Debt Issuance Costs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Net Balance</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Asset-based-lending (“ABL”) facility</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598,500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(9,288)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576,320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489,129</w:t>
            </w: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1,098,500</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(9,288)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(23,763)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1,065,449</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2"/>
        </w:trPr>
        <w:tc>
          <w:tcPr>
            <w:tcW w:w="344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1,059,449</w:t>
            </w: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spacing w:after="0"/>
              <w:rPr>
                <w:sz w:val="20"/>
                <w:szCs w:val="20"/>
                <w:color w:val="auto"/>
              </w:rPr>
            </w:pPr>
            <w:r>
              <w:rPr>
                <w:rFonts w:ascii="Arial" w:cs="Arial" w:eastAsia="Arial" w:hAnsi="Arial"/>
                <w:sz w:val="17"/>
                <w:szCs w:val="17"/>
                <w:color w:val="auto"/>
              </w:rPr>
              <w:t>Long-term debt consisted of the following as of December 31, 2021 (in thousands):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38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Principal Amount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5"/>
              </w:rPr>
              <w:t>Debt Issuance Costs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Net Balance</w:t>
            </w:r>
          </w:p>
        </w:tc>
      </w:tr>
      <w:tr>
        <w:trPr>
          <w:trHeight w:val="20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34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577,064</w:t>
            </w: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488,836</w:t>
            </w:r>
          </w:p>
        </w:tc>
      </w:tr>
      <w:tr>
        <w:trPr>
          <w:trHeight w:val="203"/>
        </w:trPr>
        <w:tc>
          <w:tcPr>
            <w:tcW w:w="3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1,100,000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(24,495)</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1,065,900</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70"/>
        </w:trPr>
        <w:tc>
          <w:tcPr>
            <w:tcW w:w="34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(6,000)</w:t>
            </w:r>
          </w:p>
        </w:tc>
      </w:tr>
      <w:tr>
        <w:trPr>
          <w:trHeight w:val="202"/>
        </w:trPr>
        <w:tc>
          <w:tcPr>
            <w:tcW w:w="344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1,059,900</w:t>
            </w: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firstLine="310"/>
        <w:spacing w:after="0" w:line="261" w:lineRule="auto"/>
        <w:rPr>
          <w:sz w:val="20"/>
          <w:szCs w:val="20"/>
          <w:color w:val="auto"/>
        </w:rPr>
      </w:pPr>
      <w:r>
        <w:rPr>
          <w:rFonts w:ascii="Arial" w:cs="Arial" w:eastAsia="Arial" w:hAnsi="Arial"/>
          <w:sz w:val="17"/>
          <w:szCs w:val="17"/>
          <w:color w:val="auto"/>
        </w:rPr>
        <w:t>The interest rate on the First Lien Term Loan was 3.25% as of March 31, 2022 and December 31, 2021, respectively. The weighted average interest rate incurred on the First Lien Term Loan was 3.25% and 3.97% for the three months March 31, 2022 and 2021, respectively. The interest rate on the Senior Notes was 4.375% as of March 31, 2022 and December 31, 2021. The weighted average interest rate incurred on the Senior Secured Notes was 4.375% for the three months March 31, 2022. The weighted average interest rate incurred on the Second Lien Notes was 8.98% for the period January 1, 2021 through January 20, 2021, prior to the repayment of the outstanding balance.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Long-term debt matures as follows (in thousands):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960" w:type="dxa"/>
            <w:vAlign w:val="bottom"/>
            <w:gridSpan w:val="2"/>
          </w:tcPr>
          <w:p>
            <w:pPr>
              <w:ind w:left="340"/>
              <w:spacing w:after="0"/>
              <w:rPr>
                <w:sz w:val="20"/>
                <w:szCs w:val="20"/>
                <w:color w:val="auto"/>
              </w:rPr>
            </w:pPr>
            <w:r>
              <w:rPr>
                <w:rFonts w:ascii="Arial" w:cs="Arial" w:eastAsia="Arial" w:hAnsi="Arial"/>
                <w:sz w:val="16"/>
                <w:szCs w:val="16"/>
                <w:b w:val="1"/>
                <w:bCs w:val="1"/>
                <w:color w:val="auto"/>
              </w:rPr>
              <w:t>Fiscal Year Ended December 31,</w:t>
            </w:r>
          </w:p>
        </w:tc>
        <w:tc>
          <w:tcPr>
            <w:tcW w:w="2220" w:type="dxa"/>
            <w:vAlign w:val="bottom"/>
            <w:gridSpan w:val="2"/>
          </w:tcPr>
          <w:p>
            <w:pPr>
              <w:ind w:left="320"/>
              <w:spacing w:after="0"/>
              <w:rPr>
                <w:sz w:val="20"/>
                <w:szCs w:val="20"/>
                <w:color w:val="auto"/>
              </w:rPr>
            </w:pPr>
            <w:r>
              <w:rPr>
                <w:rFonts w:ascii="Arial" w:cs="Arial" w:eastAsia="Arial" w:hAnsi="Arial"/>
                <w:sz w:val="16"/>
                <w:szCs w:val="16"/>
                <w:b w:val="1"/>
                <w:bCs w:val="1"/>
                <w:color w:val="auto"/>
              </w:rPr>
              <w:t>Minimum Payments</w:t>
            </w:r>
          </w:p>
        </w:tc>
      </w:tr>
      <w:tr>
        <w:trPr>
          <w:trHeight w:val="202"/>
        </w:trPr>
        <w:tc>
          <w:tcPr>
            <w:tcW w:w="2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2022</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w:t>
            </w:r>
          </w:p>
        </w:tc>
      </w:tr>
      <w:tr>
        <w:trPr>
          <w:trHeight w:val="204"/>
        </w:trPr>
        <w:tc>
          <w:tcPr>
            <w:tcW w:w="2840" w:type="dxa"/>
            <w:vAlign w:val="bottom"/>
          </w:tcPr>
          <w:p>
            <w:pPr>
              <w:ind w:left="3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0"/>
        </w:trPr>
        <w:tc>
          <w:tcPr>
            <w:tcW w:w="2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04"/>
        </w:trPr>
        <w:tc>
          <w:tcPr>
            <w:tcW w:w="2840" w:type="dxa"/>
            <w:vAlign w:val="bottom"/>
          </w:tcPr>
          <w:p>
            <w:pPr>
              <w:ind w:left="34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0"/>
        </w:trPr>
        <w:tc>
          <w:tcPr>
            <w:tcW w:w="2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04"/>
        </w:trPr>
        <w:tc>
          <w:tcPr>
            <w:tcW w:w="2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Thereafter</w:t>
            </w: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1,070,000</w:t>
            </w:r>
          </w:p>
        </w:tc>
      </w:tr>
      <w:tr>
        <w:trPr>
          <w:trHeight w:val="227"/>
        </w:trPr>
        <w:tc>
          <w:tcPr>
            <w:tcW w:w="2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1,098,500</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100" w:firstLine="310"/>
        <w:spacing w:after="0" w:line="283" w:lineRule="auto"/>
        <w:rPr>
          <w:sz w:val="20"/>
          <w:szCs w:val="20"/>
          <w:color w:val="auto"/>
        </w:rPr>
      </w:pPr>
      <w:r>
        <w:rPr>
          <w:rFonts w:ascii="Arial" w:cs="Arial" w:eastAsia="Arial" w:hAnsi="Arial"/>
          <w:sz w:val="17"/>
          <w:szCs w:val="17"/>
          <w:color w:val="auto"/>
        </w:rPr>
        <w:t xml:space="preserve">During the three months March 31, 2022 and 2021, the Company engaged in hedging activities to limit its exposure to changes in interest rates. See Note 11,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further discussion.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estimated fair values of the Company’s debt obligations as of March 31, 2022 (in thousands):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 as of</w:t>
            </w:r>
          </w:p>
        </w:tc>
        <w:tc>
          <w:tcPr>
            <w:tcW w:w="2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Markets for Identical Item</w:t>
            </w:r>
          </w:p>
        </w:tc>
        <w:tc>
          <w:tcPr>
            <w:tcW w:w="2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Significant Other</w:t>
            </w:r>
          </w:p>
        </w:tc>
        <w:tc>
          <w:tcPr>
            <w:tcW w:w="120" w:type="dxa"/>
            <w:vAlign w:val="bottom"/>
          </w:tcPr>
          <w:p>
            <w:pPr>
              <w:spacing w:after="0"/>
              <w:rPr>
                <w:sz w:val="16"/>
                <w:szCs w:val="16"/>
                <w:color w:val="auto"/>
              </w:rPr>
            </w:pPr>
          </w:p>
        </w:tc>
        <w:tc>
          <w:tcPr>
            <w:tcW w:w="1840" w:type="dxa"/>
            <w:vAlign w:val="bottom"/>
          </w:tcPr>
          <w:p>
            <w:pPr>
              <w:jc w:val="center"/>
              <w:ind w:right="42"/>
              <w:spacing w:after="0"/>
              <w:rPr>
                <w:sz w:val="20"/>
                <w:szCs w:val="20"/>
                <w:color w:val="auto"/>
              </w:rPr>
            </w:pPr>
            <w:r>
              <w:rPr>
                <w:rFonts w:ascii="Arial" w:cs="Arial" w:eastAsia="Arial" w:hAnsi="Arial"/>
                <w:sz w:val="16"/>
                <w:szCs w:val="16"/>
                <w:b w:val="1"/>
                <w:bCs w:val="1"/>
                <w:color w:val="auto"/>
                <w:w w:val="87"/>
              </w:rPr>
              <w:t>Significant Unobservable</w:t>
            </w:r>
          </w:p>
        </w:tc>
        <w:tc>
          <w:tcPr>
            <w:tcW w:w="0" w:type="dxa"/>
            <w:vAlign w:val="bottom"/>
          </w:tcPr>
          <w:p>
            <w:pPr>
              <w:spacing w:after="0"/>
              <w:rPr>
                <w:sz w:val="1"/>
                <w:szCs w:val="1"/>
                <w:color w:val="auto"/>
              </w:rPr>
            </w:pPr>
          </w:p>
        </w:tc>
      </w:tr>
      <w:tr>
        <w:trPr>
          <w:trHeight w:val="204"/>
        </w:trPr>
        <w:tc>
          <w:tcPr>
            <w:tcW w:w="2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02"/>
              <w:spacing w:after="0"/>
              <w:rPr>
                <w:sz w:val="20"/>
                <w:szCs w:val="20"/>
                <w:color w:val="auto"/>
              </w:rPr>
            </w:pPr>
            <w:r>
              <w:rPr>
                <w:rFonts w:ascii="Arial" w:cs="Arial" w:eastAsia="Arial" w:hAnsi="Arial"/>
                <w:sz w:val="16"/>
                <w:szCs w:val="16"/>
                <w:b w:val="1"/>
                <w:bCs w:val="1"/>
                <w:color w:val="auto"/>
                <w:w w:val="89"/>
              </w:rPr>
              <w:t>(Level 1)</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Observable Inputs (Level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8"/>
              </w:rPr>
              <w:t>Inputs (Level 3)</w:t>
            </w:r>
          </w:p>
        </w:tc>
        <w:tc>
          <w:tcPr>
            <w:tcW w:w="0" w:type="dxa"/>
            <w:vAlign w:val="bottom"/>
          </w:tcPr>
          <w:p>
            <w:pPr>
              <w:spacing w:after="0"/>
              <w:rPr>
                <w:sz w:val="1"/>
                <w:szCs w:val="1"/>
                <w:color w:val="auto"/>
              </w:rPr>
            </w:pPr>
          </w:p>
        </w:tc>
      </w:tr>
      <w:tr>
        <w:trPr>
          <w:trHeight w:val="202"/>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576,320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Senior Notes</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489,129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debt instruments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1,065,449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See Note 12,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DERIVATIVE INSTRUMENTS</w:t>
      </w:r>
    </w:p>
    <w:p>
      <w:pPr>
        <w:spacing w:after="0" w:line="198" w:lineRule="exact"/>
        <w:rPr>
          <w:sz w:val="20"/>
          <w:szCs w:val="20"/>
          <w:color w:val="auto"/>
        </w:rPr>
      </w:pPr>
    </w:p>
    <w:p>
      <w:pPr>
        <w:ind w:firstLine="310"/>
        <w:spacing w:after="0" w:line="277"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7" w:lineRule="exact"/>
        <w:rPr>
          <w:sz w:val="20"/>
          <w:szCs w:val="20"/>
          <w:color w:val="auto"/>
        </w:rPr>
      </w:pPr>
    </w:p>
    <w:p>
      <w:pPr>
        <w:ind w:right="240" w:firstLine="310"/>
        <w:spacing w:after="0" w:line="268" w:lineRule="auto"/>
        <w:rPr>
          <w:sz w:val="20"/>
          <w:szCs w:val="20"/>
          <w:color w:val="auto"/>
        </w:rPr>
      </w:pPr>
      <w:r>
        <w:rPr>
          <w:rFonts w:ascii="Arial" w:cs="Arial" w:eastAsia="Arial" w:hAnsi="Arial"/>
          <w:sz w:val="17"/>
          <w:szCs w:val="17"/>
          <w:color w:val="auto"/>
        </w:rPr>
        <w:t>In October 2021, the Company entered into an interest rate cap hedge with a notional amount of $300 million for a 5-year term beginning November 30, 2021. The hedge partially offsets risk associated with the First Lien Term Loan Facility’s variable interest rate. The interest rate cap instrument perfectly offsets the terms of the interest rates associated with the variable interest rate of the First Lien Term Loan.</w:t>
      </w:r>
    </w:p>
    <w:p>
      <w:pPr>
        <w:spacing w:after="0" w:line="172" w:lineRule="exact"/>
        <w:rPr>
          <w:sz w:val="20"/>
          <w:szCs w:val="20"/>
          <w:color w:val="auto"/>
        </w:rPr>
      </w:pPr>
    </w:p>
    <w:p>
      <w:pPr>
        <w:ind w:right="780" w:firstLine="310"/>
        <w:spacing w:after="0" w:line="283" w:lineRule="auto"/>
        <w:rPr>
          <w:sz w:val="20"/>
          <w:szCs w:val="20"/>
          <w:color w:val="auto"/>
        </w:rPr>
      </w:pPr>
      <w:r>
        <w:rPr>
          <w:rFonts w:ascii="Arial" w:cs="Arial" w:eastAsia="Arial" w:hAnsi="Arial"/>
          <w:sz w:val="17"/>
          <w:szCs w:val="17"/>
          <w:color w:val="auto"/>
        </w:rPr>
        <w:t>The following table summarizes the amount and location of the Company’s derivative instruments in the condensed consolidated balance sheets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20" w:type="dxa"/>
            <w:vAlign w:val="bottom"/>
          </w:tcPr>
          <w:p>
            <w:pPr>
              <w:spacing w:after="0"/>
              <w:rPr>
                <w:sz w:val="17"/>
                <w:szCs w:val="17"/>
                <w:color w:val="auto"/>
              </w:rPr>
            </w:pPr>
          </w:p>
        </w:tc>
        <w:tc>
          <w:tcPr>
            <w:tcW w:w="4920" w:type="dxa"/>
            <w:vAlign w:val="bottom"/>
            <w:tcBorders>
              <w:bottom w:val="single" w:sz="8" w:color="auto"/>
            </w:tcBorders>
            <w:gridSpan w:val="5"/>
          </w:tcPr>
          <w:p>
            <w:pPr>
              <w:ind w:left="2040"/>
              <w:spacing w:after="0"/>
              <w:rPr>
                <w:sz w:val="20"/>
                <w:szCs w:val="20"/>
                <w:color w:val="auto"/>
              </w:rPr>
            </w:pPr>
            <w:r>
              <w:rPr>
                <w:rFonts w:ascii="Arial" w:cs="Arial" w:eastAsia="Arial" w:hAnsi="Arial"/>
                <w:sz w:val="16"/>
                <w:szCs w:val="16"/>
                <w:b w:val="1"/>
                <w:bCs w:val="1"/>
                <w:color w:val="auto"/>
                <w:w w:val="93"/>
              </w:rPr>
              <w:t>Fair value - Derivatives in asset position</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1"/>
              </w:rPr>
              <w:t>December 31, 2021</w:t>
            </w:r>
          </w:p>
        </w:tc>
      </w:tr>
      <w:tr>
        <w:trPr>
          <w:trHeight w:val="20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Prepaid expenses and other current assets</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4520" w:type="dxa"/>
            <w:vAlign w:val="bottom"/>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12,824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91"/>
        </w:trPr>
        <w:tc>
          <w:tcPr>
            <w:tcW w:w="4520" w:type="dxa"/>
            <w:vAlign w:val="bottom"/>
          </w:tcPr>
          <w:p>
            <w:pPr>
              <w:spacing w:after="0"/>
              <w:rPr>
                <w:sz w:val="24"/>
                <w:szCs w:val="24"/>
                <w:color w:val="auto"/>
              </w:rPr>
            </w:pPr>
          </w:p>
        </w:tc>
        <w:tc>
          <w:tcPr>
            <w:tcW w:w="4920" w:type="dxa"/>
            <w:vAlign w:val="bottom"/>
            <w:tcBorders>
              <w:bottom w:val="single" w:sz="8" w:color="auto"/>
            </w:tcBorders>
            <w:gridSpan w:val="5"/>
          </w:tcPr>
          <w:p>
            <w:pPr>
              <w:ind w:left="1940"/>
              <w:spacing w:after="0"/>
              <w:rPr>
                <w:sz w:val="20"/>
                <w:szCs w:val="20"/>
                <w:color w:val="auto"/>
              </w:rPr>
            </w:pPr>
            <w:r>
              <w:rPr>
                <w:rFonts w:ascii="Arial" w:cs="Arial" w:eastAsia="Arial" w:hAnsi="Arial"/>
                <w:sz w:val="16"/>
                <w:szCs w:val="16"/>
                <w:b w:val="1"/>
                <w:bCs w:val="1"/>
                <w:color w:val="auto"/>
                <w:w w:val="92"/>
              </w:rPr>
              <w:t>Fair value - Derivatives in liability position</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1"/>
              </w:rPr>
              <w:t>December 31, 2021</w:t>
            </w:r>
          </w:p>
        </w:tc>
      </w:tr>
      <w:tr>
        <w:trPr>
          <w:trHeight w:val="20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Accrued expenses and other current liabilities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r>
    </w:tbl>
    <w:p>
      <w:pPr>
        <w:spacing w:after="0" w:line="311" w:lineRule="exact"/>
        <w:rPr>
          <w:sz w:val="20"/>
          <w:szCs w:val="20"/>
          <w:color w:val="auto"/>
        </w:rPr>
      </w:pPr>
    </w:p>
    <w:p>
      <w:pPr>
        <w:ind w:right="80" w:firstLine="310"/>
        <w:spacing w:after="0" w:line="268" w:lineRule="auto"/>
        <w:rPr>
          <w:sz w:val="20"/>
          <w:szCs w:val="20"/>
          <w:color w:val="auto"/>
        </w:rPr>
      </w:pPr>
      <w:r>
        <w:rPr>
          <w:rFonts w:ascii="Arial" w:cs="Arial" w:eastAsia="Arial" w:hAnsi="Arial"/>
          <w:sz w:val="17"/>
          <w:szCs w:val="17"/>
          <w:color w:val="auto"/>
        </w:rPr>
        <w:t>The gain and loss associated with the changes in the fair value of the effective portion of the hedging instrument are recorded into other comprehensive (loss) income. The following table presents the pre-tax gains (losses) from derivative instruments recognized in other comprehensive (loss) income in the Company’s unaudited condensed consolidated statements of comprehensive income (loss) (in thousands):</w:t>
      </w:r>
    </w:p>
    <w:p>
      <w:pPr>
        <w:spacing w:after="0" w:line="3"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0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r>
      <w:tr>
        <w:trPr>
          <w:trHeight w:val="202"/>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4,081</w:t>
            </w:r>
          </w:p>
        </w:tc>
      </w:tr>
      <w:tr>
        <w:trPr>
          <w:trHeight w:val="225"/>
        </w:trPr>
        <w:tc>
          <w:tcPr>
            <w:tcW w:w="76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220" w:firstLine="310"/>
        <w:spacing w:after="0" w:line="283" w:lineRule="auto"/>
        <w:rPr>
          <w:sz w:val="20"/>
          <w:szCs w:val="20"/>
          <w:color w:val="auto"/>
        </w:rPr>
      </w:pPr>
      <w:r>
        <w:rPr>
          <w:rFonts w:ascii="Arial" w:cs="Arial" w:eastAsia="Arial" w:hAnsi="Arial"/>
          <w:sz w:val="17"/>
          <w:szCs w:val="17"/>
          <w:color w:val="auto"/>
        </w:rPr>
        <w:t>The following table presents the amount and location of pre-tax income (loss) recognized in the Company’s unaudited condensed consolidated statement of comprehensive income (loss) related to the Company’s derivative instruments (in thousands):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03"/>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7"/>
                <w:szCs w:val="17"/>
                <w:color w:val="auto"/>
              </w:rPr>
            </w:pP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Income Statement Caption</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2"/>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(4,149)</w:t>
            </w:r>
          </w:p>
        </w:tc>
      </w:tr>
      <w:tr>
        <w:trPr>
          <w:trHeight w:val="207"/>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not designated as hedges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0"/>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(4,150)</w:t>
            </w:r>
          </w:p>
        </w:tc>
      </w:tr>
      <w:tr>
        <w:trPr>
          <w:trHeight w:val="22"/>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FAIR VALUE MEASUREMENTS</w:t>
      </w:r>
    </w:p>
    <w:p>
      <w:pPr>
        <w:spacing w:after="0" w:line="198" w:lineRule="exact"/>
        <w:rPr>
          <w:sz w:val="20"/>
          <w:szCs w:val="20"/>
          <w:color w:val="auto"/>
        </w:rPr>
      </w:pPr>
    </w:p>
    <w:p>
      <w:pPr>
        <w:ind w:right="20" w:firstLine="310"/>
        <w:spacing w:after="0" w:line="268" w:lineRule="auto"/>
        <w:rPr>
          <w:sz w:val="20"/>
          <w:szCs w:val="20"/>
          <w:color w:val="auto"/>
        </w:rPr>
      </w:pPr>
      <w:r>
        <w:rPr>
          <w:rFonts w:ascii="Arial" w:cs="Arial" w:eastAsia="Arial" w:hAnsi="Arial"/>
          <w:sz w:val="17"/>
          <w:szCs w:val="17"/>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33" w:lineRule="exact"/>
        <w:rPr>
          <w:sz w:val="20"/>
          <w:szCs w:val="20"/>
          <w:color w:val="auto"/>
        </w:rPr>
      </w:pPr>
    </w:p>
    <w:p>
      <w:pPr>
        <w:ind w:left="860" w:hanging="159"/>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Inputs to the fair value measurement are quoted prices in active markets for identical assets or liabilities.</w:t>
      </w:r>
    </w:p>
    <w:p>
      <w:pPr>
        <w:spacing w:after="0" w:line="23" w:lineRule="exact"/>
        <w:rPr>
          <w:rFonts w:ascii="Arial" w:cs="Arial" w:eastAsia="Arial" w:hAnsi="Arial"/>
          <w:sz w:val="17"/>
          <w:szCs w:val="17"/>
          <w:color w:val="auto"/>
        </w:rPr>
      </w:pPr>
    </w:p>
    <w:p>
      <w:pPr>
        <w:ind w:left="860" w:right="20" w:hanging="159"/>
        <w:spacing w:after="0" w:line="253" w:lineRule="auto"/>
        <w:tabs>
          <w:tab w:leader="none" w:pos="85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2" w:lineRule="exact"/>
        <w:rPr>
          <w:rFonts w:ascii="Arial" w:cs="Arial" w:eastAsia="Arial" w:hAnsi="Arial"/>
          <w:sz w:val="17"/>
          <w:szCs w:val="17"/>
          <w:color w:val="auto"/>
        </w:rPr>
      </w:pPr>
    </w:p>
    <w:p>
      <w:pPr>
        <w:ind w:left="860" w:hanging="159"/>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Inputs to the fair value measurement are unobservable inputs or valuation techniques.</w:t>
      </w:r>
    </w:p>
    <w:p>
      <w:pPr>
        <w:spacing w:after="0" w:line="167" w:lineRule="exact"/>
        <w:rPr>
          <w:sz w:val="20"/>
          <w:szCs w:val="20"/>
          <w:color w:val="auto"/>
        </w:rPr>
      </w:pPr>
    </w:p>
    <w:p>
      <w:pPr>
        <w:ind w:right="540" w:firstLine="310"/>
        <w:spacing w:after="0" w:line="353" w:lineRule="auto"/>
        <w:rPr>
          <w:sz w:val="20"/>
          <w:szCs w:val="20"/>
          <w:color w:val="auto"/>
        </w:rPr>
      </w:pPr>
      <w:r>
        <w:rPr>
          <w:rFonts w:ascii="Arial" w:cs="Arial" w:eastAsia="Arial" w:hAnsi="Arial"/>
          <w:sz w:val="15"/>
          <w:szCs w:val="15"/>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87" w:lineRule="exact"/>
        <w:rPr>
          <w:sz w:val="20"/>
          <w:szCs w:val="20"/>
          <w:color w:val="auto"/>
        </w:rPr>
      </w:pPr>
    </w:p>
    <w:p>
      <w:pPr>
        <w:ind w:right="360" w:firstLine="310"/>
        <w:spacing w:after="0" w:line="283" w:lineRule="auto"/>
        <w:rPr>
          <w:sz w:val="20"/>
          <w:szCs w:val="20"/>
          <w:color w:val="auto"/>
        </w:rPr>
      </w:pPr>
      <w:r>
        <w:rPr>
          <w:rFonts w:ascii="Arial" w:cs="Arial" w:eastAsia="Arial" w:hAnsi="Arial"/>
          <w:sz w:val="17"/>
          <w:szCs w:val="17"/>
          <w:i w:val="1"/>
          <w:iCs w:val="1"/>
          <w:color w:val="auto"/>
        </w:rPr>
        <w:t>First lien term loan</w:t>
      </w:r>
      <w:r>
        <w:rPr>
          <w:rFonts w:ascii="Arial" w:cs="Arial" w:eastAsia="Arial" w:hAnsi="Arial"/>
          <w:sz w:val="17"/>
          <w:szCs w:val="17"/>
          <w:color w:val="auto"/>
        </w:rPr>
        <w:t>: The fair value of the first lien term loan is derived from a broker quote on the loans in the syndication (Level 2 inputs). See Note 10,</w:t>
      </w:r>
      <w:r>
        <w:rPr>
          <w:rFonts w:ascii="Arial" w:cs="Arial" w:eastAsia="Arial" w:hAnsi="Arial"/>
          <w:sz w:val="17"/>
          <w:szCs w:val="17"/>
          <w:i w:val="1"/>
          <w:iCs w:val="1"/>
          <w:color w:val="auto"/>
        </w:rPr>
        <w:t xml:space="preserve"> Indebtedness</w:t>
      </w:r>
      <w:r>
        <w:rPr>
          <w:rFonts w:ascii="Arial" w:cs="Arial" w:eastAsia="Arial" w:hAnsi="Arial"/>
          <w:sz w:val="17"/>
          <w:szCs w:val="17"/>
          <w:color w:val="auto"/>
        </w:rPr>
        <w:t>, for further discussion of the carrying amount and fair value of the first lien term loan.</w:t>
      </w:r>
    </w:p>
    <w:p>
      <w:pPr>
        <w:spacing w:after="0" w:line="120" w:lineRule="exact"/>
        <w:rPr>
          <w:sz w:val="20"/>
          <w:szCs w:val="20"/>
          <w:color w:val="auto"/>
        </w:rPr>
      </w:pPr>
    </w:p>
    <w:p>
      <w:pPr>
        <w:ind w:right="400" w:firstLine="310"/>
        <w:spacing w:after="0" w:line="283" w:lineRule="auto"/>
        <w:rPr>
          <w:sz w:val="20"/>
          <w:szCs w:val="20"/>
          <w:color w:val="auto"/>
        </w:rPr>
      </w:pPr>
      <w:r>
        <w:rPr>
          <w:rFonts w:ascii="Arial" w:cs="Arial" w:eastAsia="Arial" w:hAnsi="Arial"/>
          <w:sz w:val="17"/>
          <w:szCs w:val="17"/>
          <w:i w:val="1"/>
          <w:iCs w:val="1"/>
          <w:color w:val="auto"/>
        </w:rPr>
        <w:t xml:space="preserve">Senior Notes: </w:t>
      </w:r>
      <w:r>
        <w:rPr>
          <w:rFonts w:ascii="Arial" w:cs="Arial" w:eastAsia="Arial" w:hAnsi="Arial"/>
          <w:sz w:val="17"/>
          <w:szCs w:val="17"/>
          <w:color w:val="auto"/>
        </w:rPr>
        <w:t>The fair value of the Senior Notes is derived from a broker quote (Level 2 inputs). See Note 10,</w:t>
      </w:r>
      <w:r>
        <w:rPr>
          <w:rFonts w:ascii="Arial" w:cs="Arial" w:eastAsia="Arial" w:hAnsi="Arial"/>
          <w:sz w:val="17"/>
          <w:szCs w:val="17"/>
          <w:i w:val="1"/>
          <w:iCs w:val="1"/>
          <w:color w:val="auto"/>
        </w:rPr>
        <w:t xml:space="preserve"> Indebtedness</w:t>
      </w:r>
      <w:r>
        <w:rPr>
          <w:rFonts w:ascii="Arial" w:cs="Arial" w:eastAsia="Arial" w:hAnsi="Arial"/>
          <w:sz w:val="17"/>
          <w:szCs w:val="17"/>
          <w:color w:val="auto"/>
        </w:rPr>
        <w:t>, for further discussion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amount and fair value of the Senior Notes.</w:t>
      </w:r>
    </w:p>
    <w:p>
      <w:pPr>
        <w:spacing w:after="0" w:line="120" w:lineRule="exact"/>
        <w:rPr>
          <w:sz w:val="20"/>
          <w:szCs w:val="20"/>
          <w:color w:val="auto"/>
        </w:rPr>
      </w:pPr>
    </w:p>
    <w:p>
      <w:pPr>
        <w:jc w:val="both"/>
        <w:ind w:right="20" w:firstLine="310"/>
        <w:spacing w:after="0" w:line="268" w:lineRule="auto"/>
        <w:rPr>
          <w:sz w:val="20"/>
          <w:szCs w:val="20"/>
          <w:color w:val="auto"/>
        </w:rPr>
      </w:pPr>
      <w:r>
        <w:rPr>
          <w:rFonts w:ascii="Arial" w:cs="Arial" w:eastAsia="Arial" w:hAnsi="Arial"/>
          <w:sz w:val="17"/>
          <w:szCs w:val="17"/>
          <w:i w:val="1"/>
          <w:iCs w:val="1"/>
          <w:color w:val="auto"/>
        </w:rPr>
        <w:t xml:space="preserve">Interest rate cap: </w:t>
      </w:r>
      <w:r>
        <w:rPr>
          <w:rFonts w:ascii="Arial" w:cs="Arial" w:eastAsia="Arial" w:hAnsi="Arial"/>
          <w:sz w:val="17"/>
          <w:szCs w:val="17"/>
          <w:color w:val="auto"/>
        </w:rPr>
        <w:t>The fair value of the interest rate cap is derived from the interest rates prevalent in the market and future expectations of those interest rates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(Level 2 inputs). The Company determines the fair value of the investments based on quoted prices from third-party brokers. See Note 11,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further discussion of the fair value of the interest rate cap.</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other assets or liabilities measured at fair value at March 31, 2022 and December 31, 2021.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185" w:lineRule="exact"/>
        <w:rPr>
          <w:sz w:val="20"/>
          <w:szCs w:val="20"/>
          <w:color w:val="auto"/>
        </w:rPr>
      </w:pPr>
    </w:p>
    <w:p>
      <w:pPr>
        <w:ind w:firstLine="310"/>
        <w:spacing w:after="0" w:line="294" w:lineRule="auto"/>
        <w:rPr>
          <w:sz w:val="20"/>
          <w:szCs w:val="20"/>
          <w:color w:val="auto"/>
        </w:rPr>
      </w:pPr>
      <w:r>
        <w:rPr>
          <w:rFonts w:ascii="Arial" w:cs="Arial" w:eastAsia="Arial" w:hAnsi="Arial"/>
          <w:sz w:val="15"/>
          <w:szCs w:val="15"/>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STOCK-BASED INCENTIVE COMPENSATION</w:t>
      </w:r>
    </w:p>
    <w:p>
      <w:pPr>
        <w:spacing w:after="0" w:line="192" w:lineRule="exact"/>
        <w:rPr>
          <w:sz w:val="20"/>
          <w:szCs w:val="20"/>
          <w:color w:val="auto"/>
        </w:rPr>
      </w:pPr>
    </w:p>
    <w:p>
      <w:pPr>
        <w:ind w:firstLine="310"/>
        <w:spacing w:after="0" w:line="277" w:lineRule="auto"/>
        <w:rPr>
          <w:sz w:val="20"/>
          <w:szCs w:val="20"/>
          <w:color w:val="auto"/>
        </w:rPr>
      </w:pPr>
      <w:r>
        <w:rPr>
          <w:rFonts w:ascii="Arial" w:cs="Arial" w:eastAsia="Arial" w:hAnsi="Arial"/>
          <w:sz w:val="16"/>
          <w:szCs w:val="16"/>
          <w:b w:val="1"/>
          <w:bCs w:val="1"/>
          <w:color w:val="auto"/>
        </w:rPr>
        <w:t xml:space="preserve">Equity Incentive Plans </w:t>
      </w:r>
      <w:r>
        <w:rPr>
          <w:rFonts w:ascii="Arial" w:cs="Arial" w:eastAsia="Arial" w:hAnsi="Arial"/>
          <w:sz w:val="16"/>
          <w:szCs w:val="16"/>
          <w:color w:val="auto"/>
        </w:rPr>
        <w:t>— Under the Company’s 2018 Equity Incentive Plan (the “2018 Plan”), approved at the annual meeting by the BioScrip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on May 3, 2018 and amended and restated on May 19, 2021, the Company may issue, among other things, incentive stock options, non-qualified stock options, stock appreciation rights, restricted stock units, stock grants, and performance units to key employees and directors, resulting in a total of 9,101,734 shares of common stock are authorized for issuance. The 2018 plan is administered by the Company’s Compensation Committee, a standing committee of the Board of Directors. The Company had stock options, restricted stock and performance stock units outstanding related to the 2018 Plan as of March 31, 2022. As of March 31, 2021, the Company also had incentive units outstanding related to the HC I equity incentive plan, which was implemented in October 2015, for certain officers and employees of the Company. During the three months March 31, 2022 and 2021 total stock-based incentive compensation expense recognized by the Company related to these plans was $4.2 million and $1.2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STOCKHOLDERS’ EQUITY</w:t>
      </w:r>
    </w:p>
    <w:p>
      <w:pPr>
        <w:spacing w:after="0" w:line="179" w:lineRule="exact"/>
        <w:rPr>
          <w:sz w:val="20"/>
          <w:szCs w:val="20"/>
          <w:color w:val="auto"/>
        </w:rPr>
      </w:pPr>
    </w:p>
    <w:p>
      <w:pPr>
        <w:ind w:right="160" w:firstLine="310"/>
        <w:spacing w:after="0" w:line="361" w:lineRule="auto"/>
        <w:rPr>
          <w:sz w:val="20"/>
          <w:szCs w:val="20"/>
          <w:color w:val="auto"/>
        </w:rPr>
      </w:pPr>
      <w:r>
        <w:rPr>
          <w:rFonts w:ascii="Arial" w:cs="Arial" w:eastAsia="Arial" w:hAnsi="Arial"/>
          <w:sz w:val="15"/>
          <w:szCs w:val="15"/>
          <w:b w:val="1"/>
          <w:bCs w:val="1"/>
          <w:color w:val="auto"/>
        </w:rPr>
        <w:t xml:space="preserve">2017 Warrants </w:t>
      </w:r>
      <w:r>
        <w:rPr>
          <w:rFonts w:ascii="Arial" w:cs="Arial" w:eastAsia="Arial" w:hAnsi="Arial"/>
          <w:sz w:val="15"/>
          <w:szCs w:val="15"/>
          <w:color w:val="auto"/>
        </w:rPr>
        <w:t>— During the three months March 31, 2022 and 2021, warrant holders did not elect to exercise any warrants to purchase shares of common</w:t>
      </w:r>
      <w:r>
        <w:rPr>
          <w:rFonts w:ascii="Arial" w:cs="Arial" w:eastAsia="Arial" w:hAnsi="Arial"/>
          <w:sz w:val="15"/>
          <w:szCs w:val="15"/>
          <w:b w:val="1"/>
          <w:bCs w:val="1"/>
          <w:color w:val="auto"/>
        </w:rPr>
        <w:t xml:space="preserve"> </w:t>
      </w:r>
      <w:r>
        <w:rPr>
          <w:rFonts w:ascii="Arial" w:cs="Arial" w:eastAsia="Arial" w:hAnsi="Arial"/>
          <w:sz w:val="15"/>
          <w:szCs w:val="15"/>
          <w:color w:val="auto"/>
        </w:rPr>
        <w:t>stock.. As of March 31, 2022 and December 31, 2021, the remaining warrant holders are entitled to purchase 1.4 million shares of common stock, respectively.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2015 Warrants </w:t>
      </w:r>
      <w:r>
        <w:rPr>
          <w:rFonts w:ascii="Arial" w:cs="Arial" w:eastAsia="Arial" w:hAnsi="Arial"/>
          <w:sz w:val="16"/>
          <w:szCs w:val="16"/>
          <w:color w:val="auto"/>
        </w:rPr>
        <w:t>— Warrant holders exercised an immaterial number of warrants to purchase shares of common stock during the three months March 31,</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2022. Warrant holders did not elect to exercise any warrants to purchase shares of common stock during the three months ended March 31, 2021. As of March 31,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2022 and December 31, 2021, warrant holders are entitled to purchase 0.9 million shares of common stock,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RELATED-PARTY TRANSACTIONS</w:t>
      </w:r>
    </w:p>
    <w:p>
      <w:pPr>
        <w:spacing w:after="0" w:line="179" w:lineRule="exact"/>
        <w:rPr>
          <w:sz w:val="20"/>
          <w:szCs w:val="20"/>
          <w:color w:val="auto"/>
        </w:rPr>
      </w:pPr>
    </w:p>
    <w:p>
      <w:pPr>
        <w:ind w:right="140" w:firstLine="310"/>
        <w:spacing w:after="0" w:line="266"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$0.9 million and $0.8 million for the three months March 31, 2022 and 2021, respectively. Management fees are recorded in net revenues in the accompanying unaudited condensed consolidated statements of comprehensive income (loss).</w:t>
      </w:r>
    </w:p>
    <w:p>
      <w:pPr>
        <w:spacing w:after="0" w:line="147" w:lineRule="exact"/>
        <w:rPr>
          <w:sz w:val="20"/>
          <w:szCs w:val="20"/>
          <w:color w:val="auto"/>
        </w:rPr>
      </w:pPr>
    </w:p>
    <w:p>
      <w:pPr>
        <w:ind w:firstLine="310"/>
        <w:spacing w:after="0" w:line="281" w:lineRule="auto"/>
        <w:rPr>
          <w:sz w:val="20"/>
          <w:szCs w:val="20"/>
          <w:color w:val="auto"/>
        </w:rPr>
      </w:pPr>
      <w:r>
        <w:rPr>
          <w:rFonts w:ascii="Arial" w:cs="Arial" w:eastAsia="Arial" w:hAnsi="Arial"/>
          <w:sz w:val="16"/>
          <w:szCs w:val="16"/>
          <w:color w:val="auto"/>
        </w:rPr>
        <w:t>The Company had amounts due from its joint ventures of $1.1 million and amounts due to its joint ventures of $0.5 million as of March 31, 2022. Receivables were included in prepaid expenses and other current assets in the accompanying condensed consolidated balance sheets. Payables were included in accrued expenses and other current liabilities in the accompanying condensed consolidated balance sheets. The Company also had amounts due to its joint ventures of $1.4 million as of December 31, 2021. These balances primarily relate to cash collections received by the Company on behalf of the joint ventures, offset by certain pharmaceutical inventories and other expenses paid for by the Company on behalf of the joint ventures.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SUBSEQUENT EVENTS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has evaluated whether any subsequent events occurred since March 31, 2022, and noted the following subsequent event:</w:t>
      </w:r>
    </w:p>
    <w:p>
      <w:pPr>
        <w:spacing w:after="0" w:line="24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April 11, 2022, the Company closed the transaction to acquire Specialty Pharmacy Nursing Network, Inc. (“SPNN”) for $60 million in an all-cash transaction. SPNN is a national leader in providing highly skilled specialty nursing resources across a broad portfolio of healthcare providers with over 400 nurses across the country.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8" w:lineRule="exact"/>
        <w:rPr>
          <w:sz w:val="20"/>
          <w:szCs w:val="20"/>
          <w:color w:val="auto"/>
        </w:rPr>
      </w:pPr>
    </w:p>
    <w:p>
      <w:pPr>
        <w:ind w:firstLine="310"/>
        <w:spacing w:after="0" w:line="261" w:lineRule="auto"/>
        <w:rPr>
          <w:sz w:val="20"/>
          <w:szCs w:val="20"/>
          <w:color w:val="auto"/>
        </w:rPr>
      </w:pPr>
      <w:r>
        <w:rPr>
          <w:rFonts w:ascii="Arial" w:cs="Arial" w:eastAsia="Arial" w:hAnsi="Arial"/>
          <w:sz w:val="17"/>
          <w:szCs w:val="17"/>
          <w:i w:val="1"/>
          <w:iCs w:val="1"/>
          <w:color w:val="auto"/>
        </w:rPr>
        <w:t>Unless the context requires otherwise, references in this report to "Option Care Health," the “Company,” “we,” “us” and “our” refer to Option Care Health, Inc. and its consolidated subsidiaries. The following discussion and analysis of the financial condition and results of operations of Option Care Health, Inc. (“Option Care Health”, or the “Company”) should be read in conjunction with the audited consolidated financial statements and related notes, as presented in the Annual Report on Form 10-K filed with the Securities and Exchange Commission on February 23, 2022, as well as the Company’s unaudited condensed consolidated financial statements and the related notes thereto included elsewhere in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5" w:lineRule="exact"/>
        <w:rPr>
          <w:sz w:val="20"/>
          <w:szCs w:val="20"/>
          <w:color w:val="auto"/>
        </w:rPr>
      </w:pPr>
    </w:p>
    <w:p>
      <w:pPr>
        <w:ind w:firstLine="310"/>
        <w:spacing w:after="0" w:line="276" w:lineRule="auto"/>
        <w:rPr>
          <w:sz w:val="20"/>
          <w:szCs w:val="20"/>
          <w:color w:val="auto"/>
        </w:rPr>
      </w:pPr>
      <w:r>
        <w:rPr>
          <w:rFonts w:ascii="Arial" w:cs="Arial" w:eastAsia="Arial" w:hAnsi="Arial"/>
          <w:sz w:val="16"/>
          <w:szCs w:val="16"/>
          <w:color w:val="auto"/>
        </w:rPr>
        <w:t>This Quarterly Report on Form 10-Q (this “Quarterly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Such forward-looking statements include, but are not limited to, the effect of the novel coronavirus (“COVID-19”) on our business, financial condition and results of operations. This Quarterly Report contains, among others, forward-looking statements based upon current expectations that involve numerous risks and uncertainties, including those described in Item 1A “Risk Factors”.</w:t>
      </w:r>
    </w:p>
    <w:p>
      <w:pPr>
        <w:spacing w:after="0" w:line="142" w:lineRule="exact"/>
        <w:rPr>
          <w:sz w:val="20"/>
          <w:szCs w:val="20"/>
          <w:color w:val="auto"/>
        </w:rPr>
      </w:pPr>
    </w:p>
    <w:p>
      <w:pPr>
        <w:ind w:right="340" w:firstLine="310"/>
        <w:spacing w:after="0" w:line="283"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20" w:lineRule="exact"/>
        <w:rPr>
          <w:sz w:val="20"/>
          <w:szCs w:val="20"/>
          <w:color w:val="auto"/>
        </w:rPr>
      </w:pPr>
    </w:p>
    <w:p>
      <w:pPr>
        <w:jc w:val="both"/>
        <w:ind w:right="320" w:firstLine="310"/>
        <w:spacing w:after="0" w:line="268" w:lineRule="auto"/>
        <w:rPr>
          <w:sz w:val="20"/>
          <w:szCs w:val="20"/>
          <w:color w:val="auto"/>
        </w:rPr>
      </w:pPr>
      <w:r>
        <w:rPr>
          <w:rFonts w:ascii="Arial" w:cs="Arial" w:eastAsia="Arial" w:hAnsi="Arial"/>
          <w:sz w:val="17"/>
          <w:szCs w:val="17"/>
          <w:color w:val="auto"/>
        </w:rPr>
        <w:t>Do not place undue reliance on such forward-looking statements as they speak only as of the date they are made. Except as required by law, the Company assumes no obligation to publicly update or revise any forward-looking statement even if experience or future changes make it clear that any projected results expressed or implied therein will not be realized.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98" w:lineRule="exact"/>
        <w:rPr>
          <w:sz w:val="20"/>
          <w:szCs w:val="20"/>
          <w:color w:val="auto"/>
        </w:rPr>
      </w:pPr>
    </w:p>
    <w:p>
      <w:pPr>
        <w:ind w:right="40" w:firstLine="310"/>
        <w:spacing w:after="0" w:line="300" w:lineRule="auto"/>
        <w:rPr>
          <w:sz w:val="20"/>
          <w:szCs w:val="20"/>
          <w:color w:val="auto"/>
        </w:rPr>
      </w:pPr>
      <w:r>
        <w:rPr>
          <w:rFonts w:ascii="Arial" w:cs="Arial" w:eastAsia="Arial" w:hAnsi="Arial"/>
          <w:sz w:val="15"/>
          <w:szCs w:val="15"/>
          <w:color w:val="auto"/>
        </w:rPr>
        <w:t>Option Care Health, and its wholly-owned subsidiaries, provides infusion therapy and other ancillary health care services through a national network of 154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15" w:lineRule="exact"/>
        <w:rPr>
          <w:sz w:val="20"/>
          <w:szCs w:val="20"/>
          <w:color w:val="auto"/>
        </w:rPr>
      </w:pPr>
    </w:p>
    <w:p>
      <w:pPr>
        <w:ind w:firstLine="310"/>
        <w:spacing w:after="0" w:line="296" w:lineRule="auto"/>
        <w:rPr>
          <w:sz w:val="20"/>
          <w:szCs w:val="20"/>
          <w:color w:val="auto"/>
        </w:rPr>
      </w:pPr>
      <w:r>
        <w:rPr>
          <w:rFonts w:ascii="Arial" w:cs="Arial" w:eastAsia="Arial" w:hAnsi="Arial"/>
          <w:sz w:val="15"/>
          <w:szCs w:val="15"/>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 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Capital Market. Effective February 3, 2020, the Company was listed on the Nasdaq Global Select Market under the ticker symbol “OPCH”.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Update on the Impact of the COVID-19 Pandemic</w:t>
      </w:r>
    </w:p>
    <w:p>
      <w:pPr>
        <w:spacing w:after="0" w:line="198" w:lineRule="exact"/>
        <w:rPr>
          <w:sz w:val="20"/>
          <w:szCs w:val="20"/>
          <w:color w:val="auto"/>
        </w:rPr>
      </w:pPr>
    </w:p>
    <w:p>
      <w:pPr>
        <w:ind w:right="60" w:firstLine="310"/>
        <w:spacing w:after="0" w:line="281" w:lineRule="auto"/>
        <w:rPr>
          <w:sz w:val="20"/>
          <w:szCs w:val="20"/>
          <w:color w:val="auto"/>
        </w:rPr>
      </w:pPr>
      <w:r>
        <w:rPr>
          <w:rFonts w:ascii="Arial" w:cs="Arial" w:eastAsia="Arial" w:hAnsi="Arial"/>
          <w:sz w:val="16"/>
          <w:szCs w:val="16"/>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 The Company has been disrupted by both positive and negative referral patterns, experienced challenges in our staffing, increased pricing and ability to procure, and ability to procure personal protection equipment, supplies and key drugs. The Company anticipates that the pandemic could affect its operations for an extended period; however, at this time it cannot confidently forecast the duration nor the ultimate financial impact on its operations.</w:t>
      </w:r>
    </w:p>
    <w:p>
      <w:pPr>
        <w:spacing w:after="0" w:line="125" w:lineRule="exact"/>
        <w:rPr>
          <w:sz w:val="20"/>
          <w:szCs w:val="20"/>
          <w:color w:val="auto"/>
        </w:rPr>
      </w:pPr>
    </w:p>
    <w:p>
      <w:pPr>
        <w:ind w:firstLine="310"/>
        <w:spacing w:after="0" w:line="268" w:lineRule="auto"/>
        <w:rPr>
          <w:sz w:val="20"/>
          <w:szCs w:val="20"/>
          <w:color w:val="auto"/>
        </w:rPr>
      </w:pPr>
      <w:r>
        <w:rPr>
          <w:rFonts w:ascii="Arial" w:cs="Arial" w:eastAsia="Arial" w:hAnsi="Arial"/>
          <w:sz w:val="17"/>
          <w:szCs w:val="17"/>
          <w:color w:val="auto"/>
        </w:rPr>
        <w:t>See Item 1A. “Risk Factors” under the caption “The COVID-19 pandemic and other pandemic events could adversely impact our business operations, results of operations, cash flows and financial position” included in our Annual Report on Form 10-K for the year ended December 31, 2021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Results of Operations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results of operations include the accounts of Option Care Health and our subsidiaries for the three months March 31, 2022 and 2021.</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Gross Profit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Gross profit represents our net revenue less cost of revenue.</w:t>
      </w:r>
    </w:p>
    <w:p>
      <w:pPr>
        <w:spacing w:after="0" w:line="192" w:lineRule="exact"/>
        <w:rPr>
          <w:sz w:val="20"/>
          <w:szCs w:val="20"/>
          <w:color w:val="auto"/>
        </w:rPr>
      </w:pPr>
    </w:p>
    <w:p>
      <w:pPr>
        <w:ind w:right="120" w:firstLine="310"/>
        <w:spacing w:after="0" w:line="268" w:lineRule="auto"/>
        <w:rPr>
          <w:sz w:val="20"/>
          <w:szCs w:val="20"/>
          <w:color w:val="auto"/>
        </w:rPr>
      </w:pPr>
      <w:r>
        <w:rPr>
          <w:rFonts w:ascii="Arial" w:cs="Arial" w:eastAsia="Arial" w:hAnsi="Arial"/>
          <w:sz w:val="17"/>
          <w:szCs w:val="17"/>
          <w:i w:val="1"/>
          <w:iCs w:val="1"/>
          <w:color w:val="auto"/>
        </w:rPr>
        <w:t xml:space="preserve">Net Revenue. </w:t>
      </w:r>
      <w:r>
        <w:rPr>
          <w:rFonts w:ascii="Arial" w:cs="Arial" w:eastAsia="Arial" w:hAnsi="Arial"/>
          <w:sz w:val="17"/>
          <w:szCs w:val="17"/>
          <w:color w:val="auto"/>
        </w:rPr>
        <w:t>Infusion and related health care services revenue is reported at the estimated net realizable amounts from third-party payers and patients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goods sold and services rendered. When pharmaceuticals are provided to a patient, revenue is recognized upon delivery of the goods. When nursing services are provided, revenue is recognized when the services are rendered.</w:t>
      </w:r>
    </w:p>
    <w:p>
      <w:pPr>
        <w:spacing w:after="0" w:line="133" w:lineRule="exact"/>
        <w:rPr>
          <w:sz w:val="20"/>
          <w:szCs w:val="20"/>
          <w:color w:val="auto"/>
        </w:rPr>
      </w:pPr>
    </w:p>
    <w:p>
      <w:pPr>
        <w:ind w:firstLine="310"/>
        <w:spacing w:after="0" w:line="285"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1" w:lineRule="exact"/>
        <w:rPr>
          <w:sz w:val="20"/>
          <w:szCs w:val="20"/>
          <w:color w:val="auto"/>
        </w:rPr>
      </w:pPr>
    </w:p>
    <w:p>
      <w:pPr>
        <w:ind w:right="20" w:firstLine="310"/>
        <w:spacing w:after="0" w:line="263"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consists of the actual cost of pharmaceuticals and other medical supplies dispensed to patients. In addition to product costs,</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51"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79" w:lineRule="exact"/>
        <w:rPr>
          <w:sz w:val="20"/>
          <w:szCs w:val="20"/>
          <w:color w:val="auto"/>
        </w:rPr>
      </w:pPr>
    </w:p>
    <w:p>
      <w:pPr>
        <w:ind w:right="120" w:firstLine="310"/>
        <w:spacing w:after="0" w:line="283"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 that</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and indirectly support the operations, occupancy costs, marketing expenditures, insurance, and professional fees.</w:t>
      </w:r>
    </w:p>
    <w:p>
      <w:pPr>
        <w:spacing w:after="0" w:line="133" w:lineRule="exact"/>
        <w:rPr>
          <w:sz w:val="20"/>
          <w:szCs w:val="20"/>
          <w:color w:val="auto"/>
        </w:rPr>
      </w:pPr>
    </w:p>
    <w:p>
      <w:pPr>
        <w:ind w:right="440" w:firstLine="310"/>
        <w:spacing w:after="0" w:line="315" w:lineRule="auto"/>
        <w:rPr>
          <w:sz w:val="20"/>
          <w:szCs w:val="20"/>
          <w:color w:val="auto"/>
        </w:rPr>
      </w:pPr>
      <w:r>
        <w:rPr>
          <w:rFonts w:ascii="Arial" w:cs="Arial" w:eastAsia="Arial" w:hAnsi="Arial"/>
          <w:sz w:val="16"/>
          <w:szCs w:val="16"/>
          <w:i w:val="1"/>
          <w:iCs w:val="1"/>
          <w:color w:val="auto"/>
        </w:rPr>
        <w:t xml:space="preserve">Depreciation and Amortization Expense. </w:t>
      </w:r>
      <w:r>
        <w:rPr>
          <w:rFonts w:ascii="Arial" w:cs="Arial" w:eastAsia="Arial" w:hAnsi="Arial"/>
          <w:sz w:val="16"/>
          <w:szCs w:val="16"/>
          <w:color w:val="auto"/>
        </w:rPr>
        <w:t>Depreciation within this caption includes infrastructure items such as computer hardware and software, office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leasehold improvements. Depreciation of revenue-generating assets, such as infusion pumps, is included in cost of revenue.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79" w:lineRule="exact"/>
        <w:rPr>
          <w:sz w:val="20"/>
          <w:szCs w:val="20"/>
          <w:color w:val="auto"/>
        </w:rPr>
      </w:pPr>
    </w:p>
    <w:p>
      <w:pPr>
        <w:ind w:right="140" w:firstLine="310"/>
        <w:spacing w:after="0" w:line="268"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consists principally of interest payments on the Company’s outstanding borrowings under the ABL Facility,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lien term loan and senior notes, amortization of discount and deferred financing fees. Refer to the “Liquidity and Capital Resources” section below for further discussion of these outstanding borrowings.</w:t>
      </w:r>
    </w:p>
    <w:p>
      <w:pPr>
        <w:spacing w:after="0" w:line="146" w:lineRule="exact"/>
        <w:rPr>
          <w:sz w:val="20"/>
          <w:szCs w:val="20"/>
          <w:color w:val="auto"/>
        </w:rPr>
      </w:pPr>
    </w:p>
    <w:p>
      <w:pPr>
        <w:ind w:right="620" w:firstLine="310"/>
        <w:spacing w:after="0" w:line="283" w:lineRule="auto"/>
        <w:rPr>
          <w:sz w:val="20"/>
          <w:szCs w:val="20"/>
          <w:color w:val="auto"/>
        </w:rPr>
      </w:pPr>
      <w:r>
        <w:rPr>
          <w:rFonts w:ascii="Arial" w:cs="Arial" w:eastAsia="Arial" w:hAnsi="Arial"/>
          <w:sz w:val="17"/>
          <w:szCs w:val="17"/>
          <w:i w:val="1"/>
          <w:iCs w:val="1"/>
          <w:color w:val="auto"/>
        </w:rPr>
        <w:t>Equity in Earnings of Joint Ventures</w:t>
      </w:r>
      <w:r>
        <w:rPr>
          <w:rFonts w:ascii="Arial" w:cs="Arial" w:eastAsia="Arial" w:hAnsi="Arial"/>
          <w:sz w:val="17"/>
          <w:szCs w:val="17"/>
          <w:color w:val="auto"/>
        </w:rPr>
        <w:t>. Equity in earnings of joint ventures consists of our proportionate share of equity earnings or losses from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two infusion joint ventures with health systems.</w:t>
      </w:r>
    </w:p>
    <w:p>
      <w:pPr>
        <w:spacing w:after="0" w:line="120" w:lineRule="exact"/>
        <w:rPr>
          <w:sz w:val="20"/>
          <w:szCs w:val="20"/>
          <w:color w:val="auto"/>
        </w:rPr>
      </w:pPr>
    </w:p>
    <w:p>
      <w:pPr>
        <w:ind w:right="80" w:firstLine="310"/>
        <w:spacing w:after="0" w:line="283" w:lineRule="auto"/>
        <w:rPr>
          <w:sz w:val="20"/>
          <w:szCs w:val="20"/>
          <w:color w:val="auto"/>
        </w:rPr>
      </w:pPr>
      <w:r>
        <w:rPr>
          <w:rFonts w:ascii="Arial" w:cs="Arial" w:eastAsia="Arial" w:hAnsi="Arial"/>
          <w:sz w:val="17"/>
          <w:szCs w:val="17"/>
          <w:i w:val="1"/>
          <w:iCs w:val="1"/>
          <w:color w:val="auto"/>
        </w:rPr>
        <w:t>Other, Net</w:t>
      </w:r>
      <w:r>
        <w:rPr>
          <w:rFonts w:ascii="Arial" w:cs="Arial" w:eastAsia="Arial" w:hAnsi="Arial"/>
          <w:sz w:val="17"/>
          <w:szCs w:val="17"/>
          <w:color w:val="auto"/>
        </w:rPr>
        <w:t>. Other income (expense) primarily includes activity in the prior year loss on extinguishment of debt incurred in connection with the January 2021</w:t>
      </w:r>
      <w:r>
        <w:rPr>
          <w:rFonts w:ascii="Arial" w:cs="Arial" w:eastAsia="Arial" w:hAnsi="Arial"/>
          <w:sz w:val="17"/>
          <w:szCs w:val="17"/>
          <w:i w:val="1"/>
          <w:iCs w:val="1"/>
          <w:color w:val="auto"/>
        </w:rPr>
        <w:t xml:space="preserve"> </w:t>
      </w:r>
      <w:r>
        <w:rPr>
          <w:rFonts w:ascii="Arial" w:cs="Arial" w:eastAsia="Arial" w:hAnsi="Arial"/>
          <w:sz w:val="17"/>
          <w:szCs w:val="17"/>
          <w:color w:val="auto"/>
        </w:rPr>
        <w:t>debt refinancing and miscellaneous non-operating expenses.</w:t>
      </w:r>
    </w:p>
    <w:p>
      <w:pPr>
        <w:spacing w:after="0" w:line="120" w:lineRule="exact"/>
        <w:rPr>
          <w:sz w:val="20"/>
          <w:szCs w:val="20"/>
          <w:color w:val="auto"/>
        </w:rPr>
      </w:pPr>
    </w:p>
    <w:p>
      <w:pPr>
        <w:ind w:right="360" w:firstLine="310"/>
        <w:spacing w:after="0" w:line="283"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The Company is subject to taxation in the United States and various states. The Company’s income tax expense is reflective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federal and state tax rates.</w:t>
      </w:r>
    </w:p>
    <w:p>
      <w:pPr>
        <w:spacing w:after="0" w:line="133" w:lineRule="exact"/>
        <w:rPr>
          <w:sz w:val="20"/>
          <w:szCs w:val="20"/>
          <w:color w:val="auto"/>
        </w:rPr>
      </w:pPr>
    </w:p>
    <w:p>
      <w:pPr>
        <w:jc w:val="both"/>
        <w:ind w:right="20" w:firstLine="310"/>
        <w:spacing w:after="0" w:line="268" w:lineRule="auto"/>
        <w:rPr>
          <w:sz w:val="20"/>
          <w:szCs w:val="20"/>
          <w:color w:val="auto"/>
        </w:rPr>
      </w:pPr>
      <w:r>
        <w:rPr>
          <w:rFonts w:ascii="Arial" w:cs="Arial" w:eastAsia="Arial" w:hAnsi="Arial"/>
          <w:sz w:val="17"/>
          <w:szCs w:val="17"/>
          <w:i w:val="1"/>
          <w:iCs w:val="1"/>
          <w:color w:val="auto"/>
        </w:rPr>
        <w:t>Change in unrealized gains (losses) on cash flow hedges, net of income tax expense (benefit)</w:t>
      </w:r>
      <w:r>
        <w:rPr>
          <w:rFonts w:ascii="Arial" w:cs="Arial" w:eastAsia="Arial" w:hAnsi="Arial"/>
          <w:sz w:val="17"/>
          <w:szCs w:val="17"/>
          <w:color w:val="auto"/>
        </w:rPr>
        <w:t>. Change in unrealized gains (losses) on cash flow hedges, net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consists of the gains and losses associated with the changes in the fair value of derivatives designated as hedging instruments related to the interest rate caps and interest rate swaps, net of income taxes.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Option Care Health’s consolidated results of operations for the three months ended March 31,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2022 and March 31, 2021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6"/>
                <w:szCs w:val="16"/>
                <w:b w:val="1"/>
                <w:bCs w:val="1"/>
                <w:color w:val="auto"/>
              </w:rPr>
              <w:t>For the three months ended</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ind w:left="440"/>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Pr>
          <w:p>
            <w:pPr>
              <w:spacing w:after="0"/>
              <w:rPr>
                <w:sz w:val="17"/>
                <w:szCs w:val="17"/>
                <w:color w:val="auto"/>
              </w:rPr>
            </w:pPr>
          </w:p>
        </w:tc>
        <w:tc>
          <w:tcPr>
            <w:tcW w:w="2060" w:type="dxa"/>
            <w:vAlign w:val="bottom"/>
            <w:gridSpan w:val="3"/>
          </w:tcPr>
          <w:p>
            <w:pPr>
              <w:jc w:val="right"/>
              <w:ind w:right="522"/>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00"/>
        </w:trPr>
        <w:tc>
          <w:tcPr>
            <w:tcW w:w="65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7"/>
              </w:rPr>
              <w:t>% of Revenue</w:t>
            </w:r>
          </w:p>
        </w:tc>
        <w:tc>
          <w:tcPr>
            <w:tcW w:w="1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7"/>
              </w:rPr>
              <w:t>% of Revenue</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915,784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759,237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4"/>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714,848</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78.1 %</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593,764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78.2 %</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133,969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14.6 %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120,040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15.8 %</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148,691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16.2 %</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(12,246)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(19,481)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4"/>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0"/>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8"/>
        </w:trPr>
        <w:tc>
          <w:tcPr>
            <w:tcW w:w="6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10,993</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1.2 %</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27"/>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560" w:type="dxa"/>
            <w:vAlign w:val="bottom"/>
          </w:tcPr>
          <w:p>
            <w:pPr>
              <w:ind w:left="20"/>
              <w:spacing w:after="0" w:line="160" w:lineRule="exact"/>
              <w:rPr>
                <w:sz w:val="20"/>
                <w:szCs w:val="20"/>
                <w:color w:val="auto"/>
              </w:rPr>
            </w:pPr>
            <w:r>
              <w:rPr>
                <w:rFonts w:ascii="Arial" w:cs="Arial" w:eastAsia="Arial" w:hAnsi="Arial"/>
                <w:sz w:val="16"/>
                <w:szCs w:val="16"/>
                <w:color w:val="auto"/>
                <w:w w:val="97"/>
              </w:rPr>
              <w:t>Change in unrealized gains on cash flow hedges, net of income tax expense of $3,763,and $0,</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11,070</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4,081</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19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CCEEFF"/>
            </w:tcBorders>
            <w:gridSpan w:val="2"/>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2"/>
        </w:trPr>
        <w:tc>
          <w:tcPr>
            <w:tcW w:w="6560" w:type="dxa"/>
            <w:vAlign w:val="bottom"/>
          </w:tcPr>
          <w:p>
            <w:pPr>
              <w:ind w:left="20"/>
              <w:spacing w:after="0"/>
              <w:rPr>
                <w:sz w:val="20"/>
                <w:szCs w:val="20"/>
                <w:color w:val="auto"/>
              </w:rPr>
            </w:pPr>
            <w:r>
              <w:rPr>
                <w:rFonts w:ascii="Arial" w:cs="Arial" w:eastAsia="Arial" w:hAnsi="Arial"/>
                <w:sz w:val="16"/>
                <w:szCs w:val="16"/>
                <w:color w:val="auto"/>
              </w:rPr>
              <w:t>NET COMPREHENSIVE INCOME</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41,345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Three Months Ended March 31, 2022 Compared to Three Months Ended March 31, 2021</w:t>
      </w:r>
    </w:p>
    <w:p>
      <w:pPr>
        <w:spacing w:after="0" w:line="198" w:lineRule="exact"/>
        <w:rPr>
          <w:sz w:val="20"/>
          <w:szCs w:val="20"/>
          <w:color w:val="auto"/>
        </w:rPr>
      </w:pPr>
    </w:p>
    <w:p>
      <w:pPr>
        <w:ind w:right="180" w:firstLine="310"/>
        <w:spacing w:after="0" w:line="283" w:lineRule="auto"/>
        <w:rPr>
          <w:sz w:val="20"/>
          <w:szCs w:val="20"/>
          <w:color w:val="auto"/>
        </w:rPr>
      </w:pPr>
      <w:r>
        <w:rPr>
          <w:rFonts w:ascii="Arial" w:cs="Arial" w:eastAsia="Arial" w:hAnsi="Arial"/>
          <w:sz w:val="17"/>
          <w:szCs w:val="17"/>
          <w:color w:val="auto"/>
        </w:rPr>
        <w:t>The following tables present selected consolidated comparative results of operations from Option Care Health’s unaudited condensed consolidated financial statements for the three months ended ended March 31, 2022 and March 31, 2021.</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Gross Profit</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5"/>
          </w:tcPr>
          <w:p>
            <w:pPr>
              <w:jc w:val="center"/>
              <w:ind w:right="940"/>
              <w:spacing w:after="0"/>
              <w:rPr>
                <w:sz w:val="20"/>
                <w:szCs w:val="20"/>
                <w:color w:val="auto"/>
              </w:rPr>
            </w:pPr>
            <w:r>
              <w:rPr>
                <w:rFonts w:ascii="Arial" w:cs="Arial" w:eastAsia="Arial" w:hAnsi="Arial"/>
                <w:sz w:val="17"/>
                <w:szCs w:val="17"/>
                <w:b w:val="1"/>
                <w:bCs w:val="1"/>
                <w:color w:val="auto"/>
                <w:w w:val="89"/>
              </w:rPr>
              <w:t>For the three months ended</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(unaudited)</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5"/>
          </w:tcPr>
          <w:p>
            <w:pPr>
              <w:jc w:val="center"/>
              <w:ind w:right="94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915,784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759,237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156,547</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0" w:type="dxa"/>
            <w:vAlign w:val="bottom"/>
          </w:tcPr>
          <w:p>
            <w:pPr>
              <w:spacing w:after="0"/>
              <w:rPr>
                <w:sz w:val="1"/>
                <w:szCs w:val="1"/>
                <w:color w:val="auto"/>
              </w:rPr>
            </w:pPr>
          </w:p>
        </w:tc>
      </w:tr>
      <w:tr>
        <w:trPr>
          <w:trHeight w:val="204"/>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714,848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593,764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121,084</w:t>
            </w:r>
          </w:p>
        </w:tc>
        <w:tc>
          <w:tcPr>
            <w:tcW w:w="7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2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200,936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165,473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35,463</w:t>
            </w:r>
          </w:p>
        </w:tc>
        <w:tc>
          <w:tcPr>
            <w:tcW w:w="7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21.9 %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73" w:lineRule="exact"/>
              <w:rPr>
                <w:sz w:val="20"/>
                <w:szCs w:val="20"/>
                <w:color w:val="auto"/>
              </w:rPr>
            </w:pPr>
            <w:r>
              <w:rPr>
                <w:rFonts w:ascii="Arial" w:cs="Arial" w:eastAsia="Arial" w:hAnsi="Arial"/>
                <w:sz w:val="16"/>
                <w:szCs w:val="16"/>
                <w:color w:val="auto"/>
              </w:rPr>
              <w:t>21.8 %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310"/>
        <w:spacing w:after="0" w:line="261"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consisting of acute revenue that had mid single digit growth relative to the prior year while chronic revenue grew in the high-twenties. Additionally, acquisition related growth accounted for approximately 2% of the increase in net revenue and gross profit. The increase in cost of revenue was driven by the growth in revenue. The increase in gross profit was primarily related to contribution margin from the increase in net revenue. Gross profit margin was consistent with the prior year as the growth in the chronic portfolio was concentrated in higher profit therapies.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0" w:right="1600"/>
        <w:spacing w:after="0" w:line="363" w:lineRule="auto"/>
        <w:rPr>
          <w:sz w:val="20"/>
          <w:szCs w:val="20"/>
          <w:color w:val="auto"/>
        </w:rPr>
      </w:pPr>
      <w:r>
        <w:rPr>
          <w:rFonts w:ascii="Arial" w:cs="Arial" w:eastAsia="Arial" w:hAnsi="Arial"/>
          <w:sz w:val="13"/>
          <w:szCs w:val="13"/>
          <w:color w:val="auto"/>
        </w:rPr>
        <w:t>Selling, general and administrative expenses Depreciation and amortization expense</w:t>
      </w:r>
    </w:p>
    <w:p>
      <w:pPr>
        <w:ind w:left="56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For the 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197"/>
        </w:trPr>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7"/>
                <w:szCs w:val="17"/>
                <w:color w:val="auto"/>
              </w:rPr>
            </w:pPr>
          </w:p>
        </w:tc>
      </w:tr>
      <w:tr>
        <w:trPr>
          <w:trHeight w:val="235"/>
        </w:trPr>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760" w:type="dxa"/>
            <w:vAlign w:val="bottom"/>
          </w:tcPr>
          <w:p>
            <w:pPr>
              <w:spacing w:after="0"/>
              <w:rPr>
                <w:sz w:val="20"/>
                <w:szCs w:val="20"/>
                <w:color w:val="auto"/>
              </w:rPr>
            </w:pPr>
          </w:p>
        </w:tc>
      </w:tr>
      <w:tr>
        <w:trPr>
          <w:trHeight w:val="207"/>
        </w:trPr>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133,969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120,040</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Pr>
          <w:p>
            <w:pPr>
              <w:ind w:left="340"/>
              <w:spacing w:after="0"/>
              <w:rPr>
                <w:sz w:val="20"/>
                <w:szCs w:val="20"/>
                <w:color w:val="auto"/>
              </w:rPr>
            </w:pPr>
            <w:r>
              <w:rPr>
                <w:rFonts w:ascii="Arial" w:cs="Arial" w:eastAsia="Arial" w:hAnsi="Arial"/>
                <w:sz w:val="16"/>
                <w:szCs w:val="16"/>
                <w:color w:val="auto"/>
                <w:w w:val="98"/>
              </w:rPr>
              <w:t>13,929</w:t>
            </w:r>
          </w:p>
        </w:tc>
        <w:tc>
          <w:tcPr>
            <w:tcW w:w="7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11.6 %</w:t>
            </w:r>
          </w:p>
        </w:tc>
      </w:tr>
      <w:tr>
        <w:trPr>
          <w:trHeight w:val="210"/>
        </w:trPr>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w w:val="90"/>
              </w:rPr>
              <w:t>(1,617)</w:t>
            </w: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02"/>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148,691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8"/>
              </w:rPr>
              <w:t>12,312</w:t>
            </w:r>
          </w:p>
        </w:tc>
        <w:tc>
          <w:tcPr>
            <w:tcW w:w="7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-434340</wp:posOffset>
            </wp:positionV>
            <wp:extent cx="6941185" cy="131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1185" cy="13144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-171450</wp:posOffset>
            </wp:positionV>
            <wp:extent cx="6941185" cy="155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1185" cy="155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121" w:right="339" w:bottom="1440" w:gutter="0" w:footer="0" w:header="0"/>
          <w:type w:val="continuous"/>
        </w:sectPr>
      </w:pPr>
    </w:p>
    <w:p>
      <w:pPr>
        <w:spacing w:after="0" w:line="46" w:lineRule="exact"/>
        <w:rPr>
          <w:sz w:val="20"/>
          <w:szCs w:val="20"/>
          <w:color w:val="auto"/>
        </w:rPr>
      </w:pPr>
    </w:p>
    <w:p>
      <w:pPr>
        <w:jc w:val="both"/>
        <w:ind w:right="20" w:firstLine="310"/>
        <w:spacing w:after="0" w:line="268" w:lineRule="auto"/>
        <w:rPr>
          <w:sz w:val="20"/>
          <w:szCs w:val="20"/>
          <w:color w:val="auto"/>
        </w:rPr>
      </w:pPr>
      <w:r>
        <w:rPr>
          <w:rFonts w:ascii="Arial" w:cs="Arial" w:eastAsia="Arial" w:hAnsi="Arial"/>
          <w:sz w:val="17"/>
          <w:szCs w:val="17"/>
          <w:color w:val="auto"/>
        </w:rPr>
        <w:t>The increase in Selling, general and administrative expenses is primarily due to salaries and benefits as a result of acquired team members, but has decreased as a percentage of revenue to 14.6% for the three months ended March 31, 2022 as compared to 15.8% for the three months ended March 31, 2021, as our revenue has grown at a faster pace than our selling, general and administrative expenses.</w:t>
      </w:r>
    </w:p>
    <w:p>
      <w:pPr>
        <w:spacing w:after="0" w:line="133" w:lineRule="exact"/>
        <w:rPr>
          <w:sz w:val="20"/>
          <w:szCs w:val="20"/>
          <w:color w:val="auto"/>
        </w:rPr>
      </w:pPr>
    </w:p>
    <w:p>
      <w:pPr>
        <w:ind w:right="680" w:firstLine="310"/>
        <w:spacing w:after="0" w:line="283" w:lineRule="auto"/>
        <w:rPr>
          <w:sz w:val="20"/>
          <w:szCs w:val="20"/>
          <w:color w:val="auto"/>
        </w:rPr>
      </w:pPr>
      <w:r>
        <w:rPr>
          <w:rFonts w:ascii="Arial" w:cs="Arial" w:eastAsia="Arial" w:hAnsi="Arial"/>
          <w:sz w:val="17"/>
          <w:szCs w:val="17"/>
          <w:color w:val="auto"/>
        </w:rPr>
        <w:t>The decrease in depreciation and amortization expense is primarily attributed to certain intangible assets whose useful life expired, which resulted in approximately $1.5 million decrease to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5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b w:val="1"/>
                <w:bCs w:val="1"/>
                <w:color w:val="auto"/>
              </w:rPr>
              <w:t>For the three months ended</w:t>
            </w:r>
          </w:p>
        </w:tc>
        <w:tc>
          <w:tcPr>
            <w:tcW w:w="780" w:type="dxa"/>
            <w:vAlign w:val="bottom"/>
            <w:tcBorders>
              <w:bottom w:val="single" w:sz="8" w:color="auto"/>
            </w:tcBorders>
          </w:tcPr>
          <w:p>
            <w:pPr>
              <w:spacing w:after="0"/>
              <w:rPr>
                <w:sz w:val="19"/>
                <w:szCs w:val="19"/>
                <w:color w:val="auto"/>
              </w:rPr>
            </w:pPr>
          </w:p>
        </w:tc>
      </w:tr>
      <w:tr>
        <w:trPr>
          <w:trHeight w:val="195"/>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b w:val="1"/>
                <w:bCs w:val="1"/>
                <w:color w:val="auto"/>
                <w:w w:val="91"/>
              </w:rPr>
              <w:t>March 31, 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2"/>
        </w:trPr>
        <w:tc>
          <w:tcPr>
            <w:tcW w:w="54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7"/>
                <w:szCs w:val="17"/>
                <w:color w:val="auto"/>
              </w:rPr>
            </w:pPr>
          </w:p>
        </w:tc>
      </w:tr>
      <w:tr>
        <w:trPr>
          <w:trHeight w:val="238"/>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0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for percentages)</w:t>
            </w:r>
          </w:p>
        </w:tc>
        <w:tc>
          <w:tcPr>
            <w:tcW w:w="780" w:type="dxa"/>
            <w:vAlign w:val="bottom"/>
          </w:tcPr>
          <w:p>
            <w:pPr>
              <w:spacing w:after="0"/>
              <w:rPr>
                <w:sz w:val="20"/>
                <w:szCs w:val="20"/>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7,235</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04"/>
        </w:trPr>
        <w:tc>
          <w:tcPr>
            <w:tcW w:w="546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6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12,403</w:t>
            </w: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2"/>
        </w:trPr>
        <w:tc>
          <w:tcPr>
            <w:tcW w:w="5460" w:type="dxa"/>
            <w:vAlign w:val="bottom"/>
          </w:tcPr>
          <w:p>
            <w:pPr>
              <w:ind w:left="240"/>
              <w:spacing w:after="0"/>
              <w:rPr>
                <w:sz w:val="20"/>
                <w:szCs w:val="20"/>
                <w:color w:val="auto"/>
              </w:rPr>
            </w:pPr>
            <w:r>
              <w:rPr>
                <w:rFonts w:ascii="Arial" w:cs="Arial" w:eastAsia="Arial" w:hAnsi="Arial"/>
                <w:sz w:val="16"/>
                <w:szCs w:val="16"/>
                <w:color w:val="auto"/>
              </w:rPr>
              <w:t>Total other expense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(10,977)</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(30,677)</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19,700</w:t>
            </w:r>
          </w:p>
        </w:tc>
        <w:tc>
          <w:tcPr>
            <w:tcW w:w="6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0"/>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6" w:lineRule="exact"/>
        <w:rPr>
          <w:sz w:val="20"/>
          <w:szCs w:val="20"/>
          <w:color w:val="auto"/>
        </w:rPr>
      </w:pPr>
    </w:p>
    <w:p>
      <w:pPr>
        <w:ind w:right="380" w:firstLine="310"/>
        <w:spacing w:after="0" w:line="315" w:lineRule="auto"/>
        <w:rPr>
          <w:sz w:val="20"/>
          <w:szCs w:val="20"/>
          <w:color w:val="auto"/>
        </w:rPr>
      </w:pPr>
      <w:r>
        <w:rPr>
          <w:rFonts w:ascii="Arial" w:cs="Arial" w:eastAsia="Arial" w:hAnsi="Arial"/>
          <w:sz w:val="16"/>
          <w:szCs w:val="16"/>
          <w:color w:val="auto"/>
        </w:rPr>
        <w:t xml:space="preserve">The decrease in interest expense was primarily attributable to the debt refinancing of the first lien term loan and issuance of senior notes in October 2021 during the three months ended March 31, 2022. See Note 10, </w:t>
      </w:r>
      <w:r>
        <w:rPr>
          <w:rFonts w:ascii="Arial" w:cs="Arial" w:eastAsia="Arial" w:hAnsi="Arial"/>
          <w:sz w:val="16"/>
          <w:szCs w:val="16"/>
          <w:i w:val="1"/>
          <w:iCs w:val="1"/>
          <w:color w:val="auto"/>
        </w:rPr>
        <w:t>Indebtedness</w:t>
      </w:r>
      <w:r>
        <w:rPr>
          <w:rFonts w:ascii="Arial" w:cs="Arial" w:eastAsia="Arial" w:hAnsi="Arial"/>
          <w:sz w:val="16"/>
          <w:szCs w:val="16"/>
          <w:color w:val="auto"/>
        </w:rPr>
        <w:t>, of the consolidated financial statements for further information.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increase in equity in earnings of joint ventures was primarily attributable to organic growth in both the acute and chronic portfolio of therapies.</w:t>
      </w: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Income Tax Expense</w:t>
      </w:r>
    </w:p>
    <w:p>
      <w:pPr>
        <w:spacing w:after="0" w:line="4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center"/>
              <w:ind w:right="662"/>
              <w:spacing w:after="0"/>
              <w:rPr>
                <w:sz w:val="20"/>
                <w:szCs w:val="20"/>
                <w:color w:val="auto"/>
              </w:rPr>
            </w:pPr>
            <w:r>
              <w:rPr>
                <w:rFonts w:ascii="Arial" w:cs="Arial" w:eastAsia="Arial" w:hAnsi="Arial"/>
                <w:sz w:val="17"/>
                <w:szCs w:val="17"/>
                <w:b w:val="1"/>
                <w:bCs w:val="1"/>
                <w:color w:val="auto"/>
                <w:w w:val="90"/>
              </w:rPr>
              <w:t>For the three months ended</w:t>
            </w:r>
          </w:p>
        </w:tc>
        <w:tc>
          <w:tcPr>
            <w:tcW w:w="760" w:type="dxa"/>
            <w:vAlign w:val="bottom"/>
            <w:tcBorders>
              <w:bottom w:val="single" w:sz="8" w:color="auto"/>
            </w:tcBorders>
          </w:tcPr>
          <w:p>
            <w:pPr>
              <w:spacing w:after="0"/>
              <w:rPr>
                <w:sz w:val="19"/>
                <w:szCs w:val="19"/>
                <w:color w:val="auto"/>
              </w:rPr>
            </w:pPr>
          </w:p>
        </w:tc>
      </w:tr>
      <w:tr>
        <w:trPr>
          <w:trHeight w:val="195"/>
        </w:trPr>
        <w:tc>
          <w:tcPr>
            <w:tcW w:w="54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March 31, 2022</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March 31, 2021</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2"/>
        </w:trPr>
        <w:tc>
          <w:tcPr>
            <w:tcW w:w="54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(unaudited)</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(unaudited)</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7"/>
                <w:szCs w:val="17"/>
                <w:color w:val="auto"/>
              </w:rPr>
            </w:pPr>
          </w:p>
        </w:tc>
      </w:tr>
      <w:tr>
        <w:trPr>
          <w:trHeight w:val="238"/>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center"/>
              <w:ind w:right="642"/>
              <w:spacing w:after="0"/>
              <w:rPr>
                <w:sz w:val="20"/>
                <w:szCs w:val="20"/>
                <w:color w:val="auto"/>
              </w:rPr>
            </w:pPr>
            <w:r>
              <w:rPr>
                <w:rFonts w:ascii="Arial" w:cs="Arial" w:eastAsia="Arial" w:hAnsi="Arial"/>
                <w:sz w:val="16"/>
                <w:szCs w:val="16"/>
                <w:b w:val="1"/>
                <w:bCs w:val="1"/>
                <w:color w:val="auto"/>
                <w:w w:val="84"/>
              </w:rPr>
              <w:t>(in thousands, except for percentages)</w:t>
            </w:r>
          </w:p>
        </w:tc>
        <w:tc>
          <w:tcPr>
            <w:tcW w:w="760" w:type="dxa"/>
            <w:vAlign w:val="bottom"/>
          </w:tcPr>
          <w:p>
            <w:pPr>
              <w:spacing w:after="0"/>
              <w:rPr>
                <w:sz w:val="20"/>
                <w:szCs w:val="20"/>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10,993</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9,715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760.2 %</w:t>
            </w:r>
          </w:p>
        </w:tc>
      </w:tr>
    </w:tbl>
    <w:p>
      <w:pPr>
        <w:spacing w:after="0" w:line="298" w:lineRule="exact"/>
        <w:rPr>
          <w:sz w:val="20"/>
          <w:szCs w:val="20"/>
          <w:color w:val="auto"/>
        </w:rPr>
      </w:pPr>
    </w:p>
    <w:p>
      <w:pPr>
        <w:ind w:firstLine="310"/>
        <w:spacing w:after="0" w:line="258" w:lineRule="auto"/>
        <w:rPr>
          <w:sz w:val="20"/>
          <w:szCs w:val="20"/>
          <w:color w:val="auto"/>
        </w:rPr>
      </w:pPr>
      <w:r>
        <w:rPr>
          <w:rFonts w:ascii="Arial" w:cs="Arial" w:eastAsia="Arial" w:hAnsi="Arial"/>
          <w:sz w:val="15"/>
          <w:szCs w:val="15"/>
          <w:color w:val="auto"/>
        </w:rPr>
        <w:t>The Company maintains a valuation allowance against certain state net operating losses (“NOL”). The Company’s tax expense for the three months ended March 31, 2022 consists of quarterly tax liabilities attributable to state tax returns as well as recognized deferred federal and state tax expense. These tax expense items resulted in an effective tax rate of 26.6% during the three months ended March 31, 2022. During the three months ended March 31, 2021, the effective tax rate was negative 80.7%. The variance in the Company’s effective tax rate of 26.6% for the three months ended March 31, 2022 compared to the Company’s Federal statutory rate of 21% is primarily attributable to current and deferred state taxes as well as various non-deductible expenses. The variance in the Company’s effective tax rate of negative 80.7% for the three months ended March 31, 2021 compared to the Company’s Federal statutory rate of 21% is primarily attributable to the Company only recognizing certain deferred federal and state tax expense and current state tax expense while any tax benefits that would have otherwise been recognized were offset by the Company’s tax valuation allowance in effect during that period. The variance in the year-over-year effective tax rates is primarily attributable to the company not recognizing any tax benefit for the period ended March 31, 2021 because it maintained a full tax valuation allowance reserve against such benefits. This reserve was subsequently reversed during the three months ended December 31, 2021. Therefore, the reserve was not applicable in computing tax expense for the three months ended March 31, 2022, thus producing the effective tax rate variance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Net Income and Other Comprehensive Income</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For the three months ended</w:t>
            </w:r>
          </w:p>
        </w:tc>
        <w:tc>
          <w:tcPr>
            <w:tcW w:w="840" w:type="dxa"/>
            <w:vAlign w:val="bottom"/>
            <w:tcBorders>
              <w:bottom w:val="single" w:sz="8" w:color="auto"/>
            </w:tcBorders>
          </w:tcPr>
          <w:p>
            <w:pPr>
              <w:spacing w:after="0"/>
              <w:rPr>
                <w:sz w:val="19"/>
                <w:szCs w:val="19"/>
                <w:color w:val="auto"/>
              </w:rPr>
            </w:pPr>
          </w:p>
        </w:tc>
      </w:tr>
      <w:tr>
        <w:trPr>
          <w:trHeight w:val="195"/>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March 31, 2021</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54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(unaudited)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(unaudited)</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840" w:type="dxa"/>
            <w:vAlign w:val="bottom"/>
            <w:tcBorders>
              <w:bottom w:val="single" w:sz="8" w:color="auto"/>
            </w:tcBorders>
          </w:tcPr>
          <w:p>
            <w:pPr>
              <w:spacing w:after="0"/>
              <w:rPr>
                <w:sz w:val="17"/>
                <w:szCs w:val="17"/>
                <w:color w:val="auto"/>
              </w:rPr>
            </w:pPr>
          </w:p>
        </w:tc>
      </w:tr>
      <w:tr>
        <w:trPr>
          <w:trHeight w:val="238"/>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840" w:type="dxa"/>
            <w:vAlign w:val="bottom"/>
          </w:tcPr>
          <w:p>
            <w:pPr>
              <w:spacing w:after="0"/>
              <w:rPr>
                <w:sz w:val="20"/>
                <w:szCs w:val="20"/>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681"/>
              <w:spacing w:after="0"/>
              <w:rPr>
                <w:sz w:val="20"/>
                <w:szCs w:val="20"/>
                <w:color w:val="auto"/>
              </w:rPr>
            </w:pPr>
            <w:r>
              <w:rPr>
                <w:rFonts w:ascii="Arial" w:cs="Arial" w:eastAsia="Arial" w:hAnsi="Arial"/>
                <w:sz w:val="16"/>
                <w:szCs w:val="16"/>
                <w:color w:val="auto"/>
                <w:w w:val="90"/>
              </w:rPr>
              <w:t>(2,861)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33,136</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w:t>
            </w:r>
          </w:p>
        </w:tc>
      </w:tr>
      <w:tr>
        <w:trPr>
          <w:trHeight w:val="204"/>
        </w:trPr>
        <w:tc>
          <w:tcPr>
            <w:tcW w:w="54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5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Changes in unrealized gains on cash flow hedges, net of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left="701"/>
              <w:spacing w:after="0"/>
              <w:rPr>
                <w:sz w:val="20"/>
                <w:szCs w:val="20"/>
                <w:color w:val="auto"/>
              </w:rPr>
            </w:pPr>
            <w:r>
              <w:rPr>
                <w:rFonts w:ascii="Arial" w:cs="Arial" w:eastAsia="Arial" w:hAnsi="Arial"/>
                <w:sz w:val="16"/>
                <w:szCs w:val="16"/>
                <w:color w:val="auto"/>
                <w:w w:val="89"/>
              </w:rPr>
              <w:t>4,081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6,989</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171.3 %</w:t>
            </w:r>
          </w:p>
        </w:tc>
      </w:tr>
      <w:tr>
        <w:trPr>
          <w:trHeight w:val="197"/>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color w:val="auto"/>
                <w:w w:val="89"/>
              </w:rPr>
              <w:t>4,081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6,989</w:t>
            </w:r>
          </w:p>
        </w:tc>
        <w:tc>
          <w:tcPr>
            <w:tcW w:w="5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171.3 %</w:t>
            </w:r>
          </w:p>
        </w:tc>
      </w:tr>
      <w:tr>
        <w:trPr>
          <w:trHeight w:val="22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center"/>
              <w:ind w:left="701"/>
              <w:spacing w:after="0"/>
              <w:rPr>
                <w:sz w:val="20"/>
                <w:szCs w:val="20"/>
                <w:color w:val="auto"/>
              </w:rPr>
            </w:pPr>
            <w:r>
              <w:rPr>
                <w:rFonts w:ascii="Arial" w:cs="Arial" w:eastAsia="Arial" w:hAnsi="Arial"/>
                <w:sz w:val="16"/>
                <w:szCs w:val="16"/>
                <w:color w:val="auto"/>
                <w:w w:val="89"/>
              </w:rPr>
              <w:t>1,220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40,125</w:t>
            </w:r>
          </w:p>
        </w:tc>
        <w:tc>
          <w:tcPr>
            <w:tcW w:w="5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3,288.9 %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156" w:lineRule="exact"/>
        <w:rPr>
          <w:sz w:val="20"/>
          <w:szCs w:val="20"/>
          <w:color w:val="auto"/>
        </w:rPr>
      </w:pPr>
    </w:p>
    <w:p>
      <w:pPr>
        <w:ind w:left="320" w:right="260"/>
        <w:spacing w:after="0" w:line="413" w:lineRule="auto"/>
        <w:rPr>
          <w:sz w:val="20"/>
          <w:szCs w:val="20"/>
          <w:color w:val="auto"/>
        </w:rPr>
      </w:pPr>
      <w:r>
        <w:rPr>
          <w:rFonts w:ascii="Arial" w:cs="Arial" w:eastAsia="Arial" w:hAnsi="Arial"/>
          <w:sz w:val="15"/>
          <w:szCs w:val="15"/>
          <w:color w:val="auto"/>
        </w:rPr>
        <w:t>The change in net income (loss) was primarily attributable to organic growth from additional revenue related to the factors described in the above sections. The change in unrealized gains on cash flow hedges, net of income taxes, was primarily related to the increase in fair market value of the $300.0 million</w:t>
      </w:r>
    </w:p>
    <w:p>
      <w:pPr>
        <w:spacing w:after="0" w:line="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interest rate cap hedge executed in October 2021. For the three months ended March 31, 2021, the change in unrealized gains on cash flow hedges, net of income taxes, primarily related to the increase in fair value on the $925.0 million notional swap; the swap expired in August 2021.</w:t>
      </w:r>
    </w:p>
    <w:p>
      <w:pPr>
        <w:spacing w:after="0" w:line="147" w:lineRule="exact"/>
        <w:rPr>
          <w:sz w:val="20"/>
          <w:szCs w:val="20"/>
          <w:color w:val="auto"/>
        </w:rPr>
      </w:pPr>
    </w:p>
    <w:p>
      <w:pPr>
        <w:jc w:val="both"/>
        <w:ind w:right="20" w:firstLine="310"/>
        <w:spacing w:after="0" w:line="263" w:lineRule="auto"/>
        <w:rPr>
          <w:sz w:val="20"/>
          <w:szCs w:val="20"/>
          <w:color w:val="auto"/>
        </w:rPr>
      </w:pPr>
      <w:r>
        <w:rPr>
          <w:rFonts w:ascii="Arial" w:cs="Arial" w:eastAsia="Arial" w:hAnsi="Arial"/>
          <w:sz w:val="17"/>
          <w:szCs w:val="17"/>
          <w:color w:val="auto"/>
        </w:rPr>
        <w:t>Net comprehensive income increased to $41.3 million for the three months ended March 31, 2022, compared to net comprehensive income of $1.2 million for the three months ended March 31, 2021, primarily as a result of the changes in net income, discussed above, further increased by the impact of the fair value of the interest rate cap hedge. For the three months ended March 31, 2021, the change in net comprehensive income was primarily related to the increase in fair value on the $925.0 million notional swap; the swap expired August 2021.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5" w:lineRule="exact"/>
        <w:rPr>
          <w:sz w:val="20"/>
          <w:szCs w:val="20"/>
          <w:color w:val="auto"/>
        </w:rPr>
      </w:pPr>
    </w:p>
    <w:p>
      <w:pPr>
        <w:ind w:right="40" w:firstLine="310"/>
        <w:spacing w:after="0" w:line="261" w:lineRule="auto"/>
        <w:rPr>
          <w:sz w:val="20"/>
          <w:szCs w:val="20"/>
          <w:color w:val="auto"/>
        </w:rPr>
      </w:pPr>
      <w:r>
        <w:rPr>
          <w:rFonts w:ascii="Arial" w:cs="Arial" w:eastAsia="Arial" w:hAnsi="Arial"/>
          <w:sz w:val="17"/>
          <w:szCs w:val="17"/>
          <w:color w:val="auto"/>
        </w:rPr>
        <w:t>For the three months ended March 31, 2022 and the twelve months ended December 31, 2021, the Company’s primary sources of liquidity were cash on hand of $145.6 million and $119.4 million, respectively, as well as the $167.9 million of borrowings available under its credit facilities (net of $7.1 million undrawn letters of credit issued and outstanding). During the three months ended March 31, 2022 and the year ended December 31, 2021, the Company’s positive cash flows from operations enabled investments in pharmacy and information technology infrastructure to support growth and create additional capacity in the future, as well as pursue acquisitions.</w:t>
      </w:r>
    </w:p>
    <w:p>
      <w:pPr>
        <w:spacing w:after="0" w:line="152" w:lineRule="exact"/>
        <w:rPr>
          <w:sz w:val="20"/>
          <w:szCs w:val="20"/>
          <w:color w:val="auto"/>
        </w:rPr>
      </w:pPr>
    </w:p>
    <w:p>
      <w:pPr>
        <w:ind w:right="100" w:firstLine="310"/>
        <w:spacing w:after="0" w:line="281" w:lineRule="auto"/>
        <w:rPr>
          <w:sz w:val="20"/>
          <w:szCs w:val="20"/>
          <w:color w:val="auto"/>
        </w:rPr>
      </w:pPr>
      <w:r>
        <w:rPr>
          <w:rFonts w:ascii="Arial" w:cs="Arial" w:eastAsia="Arial" w:hAnsi="Arial"/>
          <w:sz w:val="16"/>
          <w:szCs w:val="16"/>
          <w:color w:val="auto"/>
        </w:rPr>
        <w:t>The Company’s primary uses of cash include supporting our ongoing business activities, investment in capital expenditures in both facilities and technology, and the pursuit of acquisitions. Ongoing operating cash outflows are associated with procuring and dispensing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w:t>
      </w:r>
    </w:p>
    <w:p>
      <w:pPr>
        <w:spacing w:after="0" w:line="125"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Our business strategy includes the deployment of capital to pursue acquisitions that complement our operations.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and Long-Term Liquidity Requirements</w:t>
      </w:r>
    </w:p>
    <w:p>
      <w:pPr>
        <w:spacing w:after="0" w:line="179" w:lineRule="exact"/>
        <w:rPr>
          <w:sz w:val="20"/>
          <w:szCs w:val="20"/>
          <w:color w:val="auto"/>
        </w:rPr>
      </w:pPr>
    </w:p>
    <w:p>
      <w:pPr>
        <w:ind w:firstLine="310"/>
        <w:spacing w:after="0" w:line="281"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79" w:lineRule="exact"/>
        <w:rPr>
          <w:sz w:val="20"/>
          <w:szCs w:val="20"/>
          <w:color w:val="auto"/>
        </w:rPr>
      </w:pPr>
    </w:p>
    <w:p>
      <w:pPr>
        <w:ind w:right="20" w:firstLine="620"/>
        <w:spacing w:after="0" w:line="278" w:lineRule="auto"/>
        <w:rPr>
          <w:sz w:val="20"/>
          <w:szCs w:val="20"/>
          <w:color w:val="auto"/>
        </w:rPr>
      </w:pPr>
      <w:r>
        <w:rPr>
          <w:rFonts w:ascii="Arial" w:cs="Arial" w:eastAsia="Arial" w:hAnsi="Arial"/>
          <w:sz w:val="16"/>
          <w:szCs w:val="16"/>
          <w:color w:val="auto"/>
        </w:rPr>
        <w:t>The Company’s asset-based-lending (“ABL”) revolving credit facility provides for borrowings up to $175.0 million, which matures on October 27, 2026. The ABL Facility bears interest at a rate equal to, at the Borrowers’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LIBOR (or a comparable successor rate, with a floor of 0.00% per annum) plus an applicable margin, which is equal to between 1.25% and 1.75% based on the historical excess availability as a percentage of the Line Cap. The Company had $7.1 million of undrawn letters of credit issued and outstanding, resulting in net borrowing availability under the ABL facility of $167.9 million as of March 31, 2022.</w:t>
      </w:r>
    </w:p>
    <w:p>
      <w:pPr>
        <w:spacing w:after="0" w:line="194" w:lineRule="exact"/>
        <w:rPr>
          <w:sz w:val="20"/>
          <w:szCs w:val="20"/>
          <w:color w:val="auto"/>
        </w:rPr>
      </w:pPr>
    </w:p>
    <w:p>
      <w:pPr>
        <w:ind w:right="80" w:firstLine="620"/>
        <w:spacing w:after="0" w:line="285" w:lineRule="auto"/>
        <w:rPr>
          <w:sz w:val="20"/>
          <w:szCs w:val="20"/>
          <w:color w:val="auto"/>
        </w:rPr>
      </w:pPr>
      <w:r>
        <w:rPr>
          <w:rFonts w:ascii="Arial" w:cs="Arial" w:eastAsia="Arial" w:hAnsi="Arial"/>
          <w:sz w:val="16"/>
          <w:szCs w:val="16"/>
          <w:color w:val="auto"/>
        </w:rPr>
        <w:t>The principal balance of the first lien term loan is repayable in quarterly installments of $1.5 million plus interest, with a final payment of all remaining outstanding principal due on October 27, 2028. The quarterly principal payments commenced in March of 2022. Interest on the first lien term loan is payable monthly on either (i) LIBOR (or a comparable successor rate, with a floor of 0.50% per annum) plus an applicable margin of 2.75% for Eurocurrency Rate Loans and (ii) a base rate determined in accordance with the new first lien term loan agreement, plus 1.75% for Base Rate Loans.</w:t>
      </w:r>
    </w:p>
    <w:p>
      <w:pPr>
        <w:spacing w:after="0" w:line="186" w:lineRule="exact"/>
        <w:rPr>
          <w:sz w:val="20"/>
          <w:szCs w:val="20"/>
          <w:color w:val="auto"/>
        </w:rPr>
      </w:pPr>
    </w:p>
    <w:p>
      <w:pPr>
        <w:ind w:right="540" w:firstLine="620"/>
        <w:spacing w:after="0" w:line="283" w:lineRule="auto"/>
        <w:rPr>
          <w:sz w:val="20"/>
          <w:szCs w:val="20"/>
          <w:color w:val="auto"/>
        </w:rPr>
      </w:pPr>
      <w:r>
        <w:rPr>
          <w:rFonts w:ascii="Arial" w:cs="Arial" w:eastAsia="Arial" w:hAnsi="Arial"/>
          <w:sz w:val="17"/>
          <w:szCs w:val="17"/>
          <w:color w:val="auto"/>
        </w:rPr>
        <w:t>The senior notes bear interest at a rate of 4.375% per annum, which are payable semi-annually in arrears on October 31 and April 30 of each year, commencing on April 30, 2022. The senior notes mature on October 31, 2029.</w:t>
      </w:r>
    </w:p>
    <w:p>
      <w:pPr>
        <w:spacing w:after="0" w:line="185" w:lineRule="exact"/>
        <w:rPr>
          <w:sz w:val="20"/>
          <w:szCs w:val="20"/>
          <w:color w:val="auto"/>
        </w:rPr>
      </w:pPr>
    </w:p>
    <w:p>
      <w:pPr>
        <w:jc w:val="both"/>
        <w:ind w:right="440" w:firstLine="310"/>
        <w:spacing w:after="0" w:line="268" w:lineRule="auto"/>
        <w:rPr>
          <w:sz w:val="20"/>
          <w:szCs w:val="20"/>
          <w:color w:val="auto"/>
        </w:rPr>
      </w:pPr>
      <w:r>
        <w:rPr>
          <w:rFonts w:ascii="Arial" w:cs="Arial" w:eastAsia="Arial" w:hAnsi="Arial"/>
          <w:sz w:val="17"/>
          <w:szCs w:val="17"/>
          <w:color w:val="auto"/>
        </w:rPr>
        <w:t>Interest payments over the course of long-term debt obligations total an estimated $293.8 million based on final maturity dates of the Company’s credit facilities. Interest payments are calculated based on the LIBOR rate as of March 31, 2022. Actual payments are based on changes in LIBOR and exclude the interest rate cap derivative instrument.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Three Months Ended March 31, 2022 Compared to Three Months Ended March 31, 2021</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selected data from Option Care Health’s unaudited condensed consolidated statements of cash flows: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6"/>
                <w:szCs w:val="16"/>
                <w:b w:val="1"/>
                <w:bCs w:val="1"/>
                <w:color w:val="auto"/>
                <w:w w:val="89"/>
              </w:rPr>
              <w:t>Three Months Ended March 31,</w:t>
            </w:r>
          </w:p>
        </w:tc>
        <w:tc>
          <w:tcPr>
            <w:tcW w:w="940" w:type="dxa"/>
            <w:vAlign w:val="bottom"/>
            <w:tcBorders>
              <w:bottom w:val="single" w:sz="8" w:color="auto"/>
            </w:tcBorders>
          </w:tcPr>
          <w:p>
            <w:pPr>
              <w:spacing w:after="0"/>
              <w:rPr>
                <w:sz w:val="17"/>
                <w:szCs w:val="17"/>
                <w:color w:val="auto"/>
              </w:rPr>
            </w:pPr>
          </w:p>
        </w:tc>
      </w:tr>
      <w:tr>
        <w:trPr>
          <w:trHeight w:val="198"/>
        </w:trPr>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6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8"/>
        </w:trPr>
        <w:tc>
          <w:tcPr>
            <w:tcW w:w="6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86"/>
              </w:rPr>
              <w:t>Variance</w:t>
            </w:r>
          </w:p>
        </w:tc>
      </w:tr>
      <w:tr>
        <w:trPr>
          <w:trHeight w:val="238"/>
        </w:trPr>
        <w:tc>
          <w:tcPr>
            <w:tcW w:w="6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(in thousands)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14,301</w:t>
            </w:r>
          </w:p>
        </w:tc>
      </w:tr>
      <w:tr>
        <w:trPr>
          <w:trHeight w:val="204"/>
        </w:trPr>
        <w:tc>
          <w:tcPr>
            <w:tcW w:w="68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(2,236)</w:t>
            </w:r>
          </w:p>
        </w:tc>
      </w:tr>
      <w:tr>
        <w:trPr>
          <w:trHeight w:val="21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w:t>
            </w:r>
          </w:p>
        </w:tc>
      </w:tr>
      <w:tr>
        <w:trPr>
          <w:trHeight w:val="197"/>
        </w:trPr>
        <w:tc>
          <w:tcPr>
            <w:tcW w:w="68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16,080</w:t>
            </w: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20,158</w:t>
            </w:r>
          </w:p>
        </w:tc>
      </w:tr>
      <w:tr>
        <w:trPr>
          <w:trHeight w:val="202"/>
        </w:trPr>
        <w:tc>
          <w:tcPr>
            <w:tcW w:w="688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145,600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109,362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36,238</w:t>
            </w: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79" w:lineRule="exact"/>
        <w:rPr>
          <w:sz w:val="20"/>
          <w:szCs w:val="20"/>
          <w:color w:val="auto"/>
        </w:rPr>
      </w:pPr>
    </w:p>
    <w:p>
      <w:pPr>
        <w:ind w:right="220" w:firstLine="310"/>
        <w:spacing w:after="0" w:line="315" w:lineRule="auto"/>
        <w:rPr>
          <w:sz w:val="20"/>
          <w:szCs w:val="20"/>
          <w:color w:val="auto"/>
        </w:rPr>
      </w:pPr>
      <w:r>
        <w:rPr>
          <w:rFonts w:ascii="Arial" w:cs="Arial" w:eastAsia="Arial" w:hAnsi="Arial"/>
          <w:sz w:val="16"/>
          <w:szCs w:val="16"/>
          <w:color w:val="auto"/>
        </w:rPr>
        <w:t>The increase in cash flows provided by operating activities is primarily due to higher net income, decrease in interest expense due to the October 2021 debt refinancing, and timing of vendor payments during the three months ended March 31, 2022 as compared to the three months ended March 31, 2021.</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92" w:lineRule="exact"/>
        <w:rPr>
          <w:sz w:val="20"/>
          <w:szCs w:val="20"/>
          <w:color w:val="auto"/>
        </w:rPr>
      </w:pPr>
    </w:p>
    <w:p>
      <w:pPr>
        <w:ind w:left="320" w:right="1460"/>
        <w:spacing w:after="0" w:line="460" w:lineRule="auto"/>
        <w:rPr>
          <w:sz w:val="20"/>
          <w:szCs w:val="20"/>
          <w:color w:val="auto"/>
        </w:rPr>
      </w:pPr>
      <w:r>
        <w:rPr>
          <w:rFonts w:ascii="Arial" w:cs="Arial" w:eastAsia="Arial" w:hAnsi="Arial"/>
          <w:sz w:val="17"/>
          <w:szCs w:val="17"/>
          <w:color w:val="auto"/>
        </w:rPr>
        <w:t xml:space="preserve">The increase in cash flows used in investing activities is primarily due to the amount of investments in our pharmacies and infrastructure. </w:t>
      </w:r>
      <w:r>
        <w:rPr>
          <w:rFonts w:ascii="Arial" w:cs="Arial" w:eastAsia="Arial" w:hAnsi="Arial"/>
          <w:sz w:val="17"/>
          <w:szCs w:val="17"/>
          <w:b w:val="1"/>
          <w:bCs w:val="1"/>
          <w:i w:val="1"/>
          <w:iCs w:val="1"/>
          <w:color w:val="auto"/>
        </w:rPr>
        <w:t>Cash Flows from Financing Activities</w:t>
      </w:r>
    </w:p>
    <w:p>
      <w:pPr>
        <w:jc w:val="both"/>
        <w:ind w:right="280" w:firstLine="310"/>
        <w:spacing w:after="0" w:line="268" w:lineRule="auto"/>
        <w:rPr>
          <w:sz w:val="20"/>
          <w:szCs w:val="20"/>
          <w:color w:val="auto"/>
        </w:rPr>
      </w:pPr>
      <w:r>
        <w:rPr>
          <w:rFonts w:ascii="Arial" w:cs="Arial" w:eastAsia="Arial" w:hAnsi="Arial"/>
          <w:sz w:val="17"/>
          <w:szCs w:val="17"/>
          <w:color w:val="auto"/>
        </w:rPr>
        <w:t>The decrease in cash used in financing activities is related to the current year repayments of the first term lien notes, which resulted in repayments of $1.5 million. The remaining change in financing activities was related to net proceeds from the January 2021 refinancing in the three months ended March 31, 2021 with no comparable activity in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5" w:lineRule="exact"/>
        <w:rPr>
          <w:sz w:val="20"/>
          <w:szCs w:val="20"/>
          <w:color w:val="auto"/>
        </w:rPr>
      </w:pPr>
    </w:p>
    <w:p>
      <w:pPr>
        <w:ind w:right="20" w:firstLine="310"/>
        <w:spacing w:after="0" w:line="259" w:lineRule="auto"/>
        <w:rPr>
          <w:sz w:val="20"/>
          <w:szCs w:val="20"/>
          <w:color w:val="auto"/>
        </w:rPr>
      </w:pPr>
      <w:r>
        <w:rPr>
          <w:rFonts w:ascii="Arial" w:cs="Arial" w:eastAsia="Arial" w:hAnsi="Arial"/>
          <w:sz w:val="17"/>
          <w:szCs w:val="17"/>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43" w:lineRule="exact"/>
        <w:rPr>
          <w:sz w:val="20"/>
          <w:szCs w:val="20"/>
          <w:color w:val="auto"/>
        </w:rPr>
      </w:pPr>
    </w:p>
    <w:p>
      <w:pPr>
        <w:ind w:right="580" w:firstLine="310"/>
        <w:spacing w:after="0" w:line="251" w:lineRule="auto"/>
        <w:rPr>
          <w:sz w:val="20"/>
          <w:szCs w:val="20"/>
          <w:color w:val="auto"/>
        </w:rPr>
      </w:pPr>
      <w:r>
        <w:rPr>
          <w:rFonts w:ascii="Arial" w:cs="Arial" w:eastAsia="Arial" w:hAnsi="Arial"/>
          <w:sz w:val="17"/>
          <w:szCs w:val="17"/>
          <w:color w:val="auto"/>
        </w:rPr>
        <w:t>The company’s critical accounting policies and estimates as presented in our Annual report on 10-K for the year ended December 31, 2021 are hereby incorporated by reference.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98" w:lineRule="exact"/>
        <w:rPr>
          <w:sz w:val="20"/>
          <w:szCs w:val="20"/>
          <w:color w:val="auto"/>
        </w:rPr>
      </w:pPr>
    </w:p>
    <w:p>
      <w:pPr>
        <w:ind w:right="960" w:firstLine="310"/>
        <w:spacing w:after="0" w:line="283" w:lineRule="auto"/>
        <w:rPr>
          <w:sz w:val="20"/>
          <w:szCs w:val="20"/>
          <w:color w:val="auto"/>
        </w:rPr>
      </w:pPr>
      <w:r>
        <w:rPr>
          <w:rFonts w:ascii="Arial" w:cs="Arial" w:eastAsia="Arial" w:hAnsi="Arial"/>
          <w:sz w:val="17"/>
          <w:szCs w:val="17"/>
          <w:color w:val="auto"/>
        </w:rPr>
        <w:t>There have been no material changes to our exposure to market risk from those included in our Annual Report on Form 10-K for the year ended December 31, 2021, hereby incorporated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5" w:lineRule="exact"/>
        <w:rPr>
          <w:sz w:val="20"/>
          <w:szCs w:val="20"/>
          <w:color w:val="auto"/>
        </w:rPr>
      </w:pPr>
    </w:p>
    <w:p>
      <w:pPr>
        <w:ind w:firstLine="310"/>
        <w:spacing w:after="0" w:line="298" w:lineRule="auto"/>
        <w:rPr>
          <w:sz w:val="20"/>
          <w:szCs w:val="20"/>
          <w:color w:val="auto"/>
        </w:rPr>
      </w:pPr>
      <w:r>
        <w:rPr>
          <w:rFonts w:ascii="Arial" w:cs="Arial" w:eastAsia="Arial" w:hAnsi="Arial"/>
          <w:sz w:val="15"/>
          <w:szCs w:val="15"/>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March 31, 2022. Based on that evaluation, the Company’s Chief Executive Officer and its Chief Financial Officer concluded that our disclosure controls and procedures were effective as of March 31, 2022.</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 over Financial Reporting</w:t>
      </w:r>
    </w:p>
    <w:p>
      <w:pPr>
        <w:spacing w:after="0" w:line="185" w:lineRule="exact"/>
        <w:rPr>
          <w:sz w:val="20"/>
          <w:szCs w:val="20"/>
          <w:color w:val="auto"/>
        </w:rPr>
      </w:pPr>
    </w:p>
    <w:p>
      <w:pPr>
        <w:ind w:right="680" w:firstLine="310"/>
        <w:spacing w:after="0" w:line="283" w:lineRule="auto"/>
        <w:rPr>
          <w:sz w:val="20"/>
          <w:szCs w:val="20"/>
          <w:color w:val="auto"/>
        </w:rPr>
      </w:pPr>
      <w:r>
        <w:rPr>
          <w:rFonts w:ascii="Arial" w:cs="Arial" w:eastAsia="Arial" w:hAnsi="Arial"/>
          <w:sz w:val="17"/>
          <w:szCs w:val="17"/>
          <w:color w:val="auto"/>
        </w:rPr>
        <w:t>There were no changes in our internal control over financial reporting during the three months ended March 31,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II</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1" w:lineRule="exact"/>
        <w:rPr>
          <w:sz w:val="20"/>
          <w:szCs w:val="20"/>
          <w:color w:val="auto"/>
        </w:rPr>
      </w:pPr>
    </w:p>
    <w:p>
      <w:pPr>
        <w:ind w:right="100" w:firstLine="340"/>
        <w:spacing w:after="0" w:line="283" w:lineRule="auto"/>
        <w:rPr>
          <w:sz w:val="20"/>
          <w:szCs w:val="20"/>
          <w:color w:val="auto"/>
        </w:rPr>
      </w:pPr>
      <w:r>
        <w:rPr>
          <w:rFonts w:ascii="Arial" w:cs="Arial" w:eastAsia="Arial" w:hAnsi="Arial"/>
          <w:sz w:val="17"/>
          <w:szCs w:val="17"/>
          <w:color w:val="auto"/>
        </w:rPr>
        <w:t xml:space="preserve">For a summary of legal proceedings, refer to Note 13,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of the unaudited condensed consolidated financial statements included in Item 1 of this report.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85" w:lineRule="exact"/>
        <w:rPr>
          <w:sz w:val="20"/>
          <w:szCs w:val="20"/>
          <w:color w:val="auto"/>
        </w:rPr>
      </w:pPr>
    </w:p>
    <w:p>
      <w:pPr>
        <w:ind w:right="120" w:firstLine="310"/>
        <w:spacing w:after="0" w:line="292" w:lineRule="auto"/>
        <w:rPr>
          <w:sz w:val="20"/>
          <w:szCs w:val="20"/>
          <w:color w:val="auto"/>
        </w:rPr>
      </w:pPr>
      <w:r>
        <w:rPr>
          <w:rFonts w:ascii="Arial" w:cs="Arial" w:eastAsia="Arial" w:hAnsi="Arial"/>
          <w:sz w:val="16"/>
          <w:szCs w:val="16"/>
          <w:color w:val="auto"/>
        </w:rPr>
        <w:t>There have been no material changes to the risk factors affecting our business, financial condition or results of operations from those set forth in Part I, Item 1A. “Risk Factors” in our Annual Report on form 10-K for the year ended December 31, 2021. Additional risks and uncertainties not currently known to us or that we currently deem to be immaterial may also materially adversely affect our business, financial condition and/or operating results.</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 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9740" w:type="dxa"/>
            <w:vAlign w:val="bottom"/>
            <w:tcBorders>
              <w:bottom w:val="single" w:sz="8" w:color="auto"/>
            </w:tcBorders>
            <w:gridSpan w:val="5"/>
          </w:tcPr>
          <w:p>
            <w:pPr>
              <w:ind w:left="4480"/>
              <w:spacing w:after="0"/>
              <w:rPr>
                <w:sz w:val="20"/>
                <w:szCs w:val="20"/>
                <w:color w:val="auto"/>
              </w:rPr>
            </w:pPr>
            <w:r>
              <w:rPr>
                <w:rFonts w:ascii="Arial" w:cs="Arial" w:eastAsia="Arial" w:hAnsi="Arial"/>
                <w:sz w:val="16"/>
                <w:szCs w:val="16"/>
                <w:b w:val="1"/>
                <w:bCs w:val="1"/>
                <w:color w:val="auto"/>
              </w:rPr>
              <w:t>Description</w:t>
            </w:r>
          </w:p>
        </w:tc>
      </w:tr>
      <w:tr>
        <w:trPr>
          <w:trHeight w:val="22"/>
        </w:trPr>
        <w:tc>
          <w:tcPr>
            <w:tcW w:w="1480" w:type="dxa"/>
            <w:vAlign w:val="bottom"/>
            <w:tcBorders>
              <w:bottom w:val="single" w:sz="8" w:color="auto"/>
            </w:tcBorders>
          </w:tcPr>
          <w:p>
            <w:pPr>
              <w:spacing w:after="0" w:line="20" w:lineRule="exact"/>
              <w:rPr>
                <w:sz w:val="1"/>
                <w:szCs w:val="1"/>
                <w:color w:val="auto"/>
              </w:rPr>
            </w:pPr>
          </w:p>
        </w:tc>
        <w:tc>
          <w:tcPr>
            <w:tcW w:w="9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74"/>
        </w:trPr>
        <w:tc>
          <w:tcPr>
            <w:tcW w:w="1480" w:type="dxa"/>
            <w:vAlign w:val="bottom"/>
          </w:tcPr>
          <w:p>
            <w:pPr>
              <w:ind w:left="20"/>
              <w:spacing w:after="0" w:line="174" w:lineRule="exact"/>
              <w:rPr>
                <w:sz w:val="20"/>
                <w:szCs w:val="20"/>
                <w:color w:val="auto"/>
              </w:rPr>
            </w:pPr>
            <w:r>
              <w:rPr>
                <w:rFonts w:ascii="Arial" w:cs="Arial" w:eastAsia="Arial" w:hAnsi="Arial"/>
                <w:sz w:val="16"/>
                <w:szCs w:val="16"/>
                <w:color w:val="auto"/>
              </w:rPr>
              <w:t>31.1</w:t>
            </w:r>
          </w:p>
        </w:tc>
        <w:tc>
          <w:tcPr>
            <w:tcW w:w="9220" w:type="dxa"/>
            <w:vAlign w:val="bottom"/>
            <w:tcBorders>
              <w:bottom w:val="single" w:sz="8" w:color="0000FF"/>
            </w:tcBorders>
            <w:gridSpan w:val="3"/>
          </w:tcPr>
          <w:p>
            <w:pPr>
              <w:spacing w:after="0" w:line="174" w:lineRule="exact"/>
              <w:rPr>
                <w:rFonts w:ascii="Arial" w:cs="Arial" w:eastAsia="Arial" w:hAnsi="Arial"/>
                <w:sz w:val="16"/>
                <w:szCs w:val="16"/>
                <w:color w:val="0000FF"/>
                <w:w w:val="88"/>
              </w:rPr>
            </w:pPr>
            <w:hyperlink w:anchor="page33">
              <w:r>
                <w:rPr>
                  <w:rFonts w:ascii="Arial" w:cs="Arial" w:eastAsia="Arial" w:hAnsi="Arial"/>
                  <w:sz w:val="16"/>
                  <w:szCs w:val="16"/>
                  <w:color w:val="0000FF"/>
                  <w:w w:val="88"/>
                </w:rPr>
                <w:t>Certification of Chief Executive Officer pursuant to 18 U.S.C. Section 1350, as adopted pursuant to Section 302 of the Sarbanes-Oxley Act of 2002.</w:t>
              </w:r>
            </w:hyperlink>
          </w:p>
        </w:tc>
        <w:tc>
          <w:tcPr>
            <w:tcW w:w="520" w:type="dxa"/>
            <w:vAlign w:val="bottom"/>
            <w:gridSpan w:val="2"/>
          </w:tcPr>
          <w:p>
            <w:pPr>
              <w:spacing w:after="0"/>
              <w:rPr>
                <w:sz w:val="15"/>
                <w:szCs w:val="15"/>
                <w:color w:val="auto"/>
              </w:rPr>
            </w:pPr>
          </w:p>
        </w:tc>
      </w:tr>
      <w:tr>
        <w:trPr>
          <w:trHeight w:val="200"/>
        </w:trPr>
        <w:tc>
          <w:tcPr>
            <w:tcW w:w="1480" w:type="dxa"/>
            <w:vAlign w:val="bottom"/>
          </w:tcPr>
          <w:p>
            <w:pPr>
              <w:ind w:left="20"/>
              <w:spacing w:after="0"/>
              <w:rPr>
                <w:sz w:val="20"/>
                <w:szCs w:val="20"/>
                <w:color w:val="auto"/>
              </w:rPr>
            </w:pPr>
            <w:r>
              <w:rPr>
                <w:rFonts w:ascii="Arial" w:cs="Arial" w:eastAsia="Arial" w:hAnsi="Arial"/>
                <w:sz w:val="16"/>
                <w:szCs w:val="16"/>
                <w:color w:val="auto"/>
              </w:rPr>
              <w:t>31.2</w:t>
            </w:r>
          </w:p>
        </w:tc>
        <w:tc>
          <w:tcPr>
            <w:tcW w:w="9160" w:type="dxa"/>
            <w:vAlign w:val="bottom"/>
            <w:tcBorders>
              <w:bottom w:val="single" w:sz="8" w:color="0000FF"/>
            </w:tcBorders>
          </w:tcPr>
          <w:p>
            <w:pPr>
              <w:spacing w:after="0"/>
              <w:rPr>
                <w:rFonts w:ascii="Arial" w:cs="Arial" w:eastAsia="Arial" w:hAnsi="Arial"/>
                <w:sz w:val="16"/>
                <w:szCs w:val="16"/>
                <w:color w:val="0000FF"/>
                <w:w w:val="88"/>
              </w:rPr>
            </w:pPr>
            <w:hyperlink w:anchor="page34">
              <w:r>
                <w:rPr>
                  <w:rFonts w:ascii="Arial" w:cs="Arial" w:eastAsia="Arial" w:hAnsi="Arial"/>
                  <w:sz w:val="16"/>
                  <w:szCs w:val="16"/>
                  <w:color w:val="0000FF"/>
                  <w:w w:val="88"/>
                </w:rPr>
                <w:t>Certification of Chief Financial Officer pursuant to 18 U.S.C. Section 1350, as adopted pursuant to Section 302 of the Sarbanes-Oxley Act of 2002.</w:t>
              </w:r>
            </w:hyperlink>
          </w:p>
        </w:tc>
        <w:tc>
          <w:tcPr>
            <w:tcW w:w="580" w:type="dxa"/>
            <w:vAlign w:val="bottom"/>
            <w:gridSpan w:val="4"/>
          </w:tcPr>
          <w:p>
            <w:pPr>
              <w:spacing w:after="0"/>
              <w:rPr>
                <w:sz w:val="17"/>
                <w:szCs w:val="17"/>
                <w:color w:val="auto"/>
              </w:rPr>
            </w:pPr>
          </w:p>
        </w:tc>
      </w:tr>
      <w:tr>
        <w:trPr>
          <w:trHeight w:val="187"/>
        </w:trPr>
        <w:tc>
          <w:tcPr>
            <w:tcW w:w="1480" w:type="dxa"/>
            <w:vAlign w:val="bottom"/>
          </w:tcPr>
          <w:p>
            <w:pPr>
              <w:ind w:left="20"/>
              <w:spacing w:after="0"/>
              <w:rPr>
                <w:sz w:val="20"/>
                <w:szCs w:val="20"/>
                <w:color w:val="auto"/>
              </w:rPr>
            </w:pPr>
            <w:r>
              <w:rPr>
                <w:rFonts w:ascii="Arial" w:cs="Arial" w:eastAsia="Arial" w:hAnsi="Arial"/>
                <w:sz w:val="16"/>
                <w:szCs w:val="16"/>
                <w:color w:val="auto"/>
              </w:rPr>
              <w:t>32.1</w:t>
            </w:r>
          </w:p>
        </w:tc>
        <w:tc>
          <w:tcPr>
            <w:tcW w:w="9240" w:type="dxa"/>
            <w:vAlign w:val="bottom"/>
            <w:tcBorders>
              <w:bottom w:val="single" w:sz="8" w:color="0000FF"/>
            </w:tcBorders>
            <w:gridSpan w:val="4"/>
          </w:tcPr>
          <w:p>
            <w:pPr>
              <w:spacing w:after="0"/>
              <w:rPr>
                <w:rFonts w:ascii="Arial" w:cs="Arial" w:eastAsia="Arial" w:hAnsi="Arial"/>
                <w:sz w:val="16"/>
                <w:szCs w:val="16"/>
                <w:color w:val="0000FF"/>
                <w:w w:val="88"/>
              </w:rPr>
            </w:pPr>
            <w:hyperlink w:anchor="page35">
              <w:r>
                <w:rPr>
                  <w:rFonts w:ascii="Arial" w:cs="Arial" w:eastAsia="Arial" w:hAnsi="Arial"/>
                  <w:sz w:val="16"/>
                  <w:szCs w:val="16"/>
                  <w:color w:val="0000FF"/>
                  <w:w w:val="88"/>
                </w:rPr>
                <w:t>Certification of Chief Executive Officer pursuant to 18 U.S. C. Section 1350, as adopted pursuant to Section 906 of the Sarbanes-Oxley Act of 2002.</w:t>
              </w:r>
            </w:hyperlink>
          </w:p>
        </w:tc>
        <w:tc>
          <w:tcPr>
            <w:tcW w:w="500" w:type="dxa"/>
            <w:vAlign w:val="bottom"/>
          </w:tcPr>
          <w:p>
            <w:pPr>
              <w:spacing w:after="0"/>
              <w:rPr>
                <w:sz w:val="16"/>
                <w:szCs w:val="16"/>
                <w:color w:val="auto"/>
              </w:rPr>
            </w:pPr>
          </w:p>
        </w:tc>
      </w:tr>
      <w:tr>
        <w:trPr>
          <w:trHeight w:val="187"/>
        </w:trPr>
        <w:tc>
          <w:tcPr>
            <w:tcW w:w="1480" w:type="dxa"/>
            <w:vAlign w:val="bottom"/>
          </w:tcPr>
          <w:p>
            <w:pPr>
              <w:ind w:left="20"/>
              <w:spacing w:after="0"/>
              <w:rPr>
                <w:sz w:val="20"/>
                <w:szCs w:val="20"/>
                <w:color w:val="auto"/>
              </w:rPr>
            </w:pPr>
            <w:r>
              <w:rPr>
                <w:rFonts w:ascii="Arial" w:cs="Arial" w:eastAsia="Arial" w:hAnsi="Arial"/>
                <w:sz w:val="16"/>
                <w:szCs w:val="16"/>
                <w:color w:val="auto"/>
              </w:rPr>
              <w:t>32.2</w:t>
            </w:r>
          </w:p>
        </w:tc>
        <w:tc>
          <w:tcPr>
            <w:tcW w:w="9200" w:type="dxa"/>
            <w:vAlign w:val="bottom"/>
            <w:tcBorders>
              <w:bottom w:val="single" w:sz="8" w:color="0000FF"/>
            </w:tcBorders>
            <w:gridSpan w:val="2"/>
          </w:tcPr>
          <w:p>
            <w:pPr>
              <w:spacing w:after="0"/>
              <w:rPr>
                <w:rFonts w:ascii="Arial" w:cs="Arial" w:eastAsia="Arial" w:hAnsi="Arial"/>
                <w:sz w:val="16"/>
                <w:szCs w:val="16"/>
                <w:color w:val="0000FF"/>
                <w:w w:val="88"/>
              </w:rPr>
            </w:pPr>
            <w:hyperlink w:anchor="page36">
              <w:r>
                <w:rPr>
                  <w:rFonts w:ascii="Arial" w:cs="Arial" w:eastAsia="Arial" w:hAnsi="Arial"/>
                  <w:sz w:val="16"/>
                  <w:szCs w:val="16"/>
                  <w:color w:val="0000FF"/>
                  <w:w w:val="88"/>
                </w:rPr>
                <w:t>Certification of Chief Financial Officer pursuant to 18 U.S. C. Section 1350, as adopted pursuant to Section 906 of the Sarbanes-Oxley Act of 2002.</w:t>
              </w:r>
            </w:hyperlink>
          </w:p>
        </w:tc>
        <w:tc>
          <w:tcPr>
            <w:tcW w:w="540" w:type="dxa"/>
            <w:vAlign w:val="bottom"/>
            <w:gridSpan w:val="3"/>
          </w:tcPr>
          <w:p>
            <w:pPr>
              <w:spacing w:after="0"/>
              <w:rPr>
                <w:sz w:val="16"/>
                <w:szCs w:val="16"/>
                <w:color w:val="auto"/>
              </w:rPr>
            </w:pPr>
          </w:p>
        </w:tc>
      </w:tr>
      <w:tr>
        <w:trPr>
          <w:trHeight w:val="220"/>
        </w:trPr>
        <w:tc>
          <w:tcPr>
            <w:tcW w:w="1480" w:type="dxa"/>
            <w:vAlign w:val="bottom"/>
          </w:tcPr>
          <w:p>
            <w:pPr>
              <w:ind w:left="20"/>
              <w:spacing w:after="0"/>
              <w:rPr>
                <w:sz w:val="20"/>
                <w:szCs w:val="20"/>
                <w:color w:val="auto"/>
              </w:rPr>
            </w:pPr>
            <w:r>
              <w:rPr>
                <w:rFonts w:ascii="Arial" w:cs="Arial" w:eastAsia="Arial" w:hAnsi="Arial"/>
                <w:sz w:val="16"/>
                <w:szCs w:val="16"/>
                <w:color w:val="auto"/>
              </w:rPr>
              <w:t>101.INS</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101.SCH</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Schema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101.CAL</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101.DEF</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101.LAB</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101.PRE</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104</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Formatted Cover Page</w:t>
            </w:r>
          </w:p>
        </w:tc>
      </w:tr>
    </w:tbl>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98" w:lineRule="exact"/>
        <w:rPr>
          <w:sz w:val="20"/>
          <w:szCs w:val="20"/>
          <w:color w:val="auto"/>
        </w:rPr>
      </w:pPr>
    </w:p>
    <w:p>
      <w:pPr>
        <w:ind w:right="260" w:firstLine="31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9100"/>
        <w:spacing w:after="0"/>
        <w:rPr>
          <w:sz w:val="20"/>
          <w:szCs w:val="20"/>
          <w:color w:val="auto"/>
        </w:rPr>
      </w:pPr>
      <w:r>
        <w:rPr>
          <w:rFonts w:ascii="Arial" w:cs="Arial" w:eastAsia="Arial" w:hAnsi="Arial"/>
          <w:sz w:val="17"/>
          <w:szCs w:val="17"/>
          <w:b w:val="1"/>
          <w:bCs w:val="1"/>
          <w:color w:val="auto"/>
        </w:rPr>
        <w:t>OPTION CARE HEALTH, IN</w:t>
      </w:r>
    </w:p>
    <w:p>
      <w:pPr>
        <w:spacing w:after="0" w:line="244" w:lineRule="exact"/>
        <w:rPr>
          <w:sz w:val="20"/>
          <w:szCs w:val="20"/>
          <w:color w:val="auto"/>
        </w:rPr>
      </w:pPr>
    </w:p>
    <w:p>
      <w:pPr>
        <w:jc w:val="right"/>
        <w:ind w:left="640"/>
        <w:spacing w:after="0" w:line="273" w:lineRule="auto"/>
        <w:rPr>
          <w:sz w:val="20"/>
          <w:szCs w:val="20"/>
          <w:color w:val="auto"/>
        </w:rPr>
      </w:pPr>
      <w:r>
        <w:rPr>
          <w:rFonts w:ascii="Arial" w:cs="Arial" w:eastAsia="Arial" w:hAnsi="Arial"/>
          <w:sz w:val="17"/>
          <w:szCs w:val="17"/>
          <w:color w:val="auto"/>
        </w:rPr>
        <w:t xml:space="preserve">Date: April 28, 2022                                                                                          </w:t>
      </w:r>
      <w:r>
        <w:rPr>
          <w:rFonts w:ascii="Arial" w:cs="Arial" w:eastAsia="Arial" w:hAnsi="Arial"/>
          <w:sz w:val="17"/>
          <w:szCs w:val="17"/>
          <w:b w:val="1"/>
          <w:bCs w:val="1"/>
          <w:u w:val="single" w:color="auto"/>
          <w:color w:val="auto"/>
        </w:rPr>
        <w:t>/s/ Michael Shapi</w:t>
      </w:r>
      <w:r>
        <w:rPr>
          <w:rFonts w:ascii="Arial" w:cs="Arial" w:eastAsia="Arial" w:hAnsi="Arial"/>
          <w:sz w:val="17"/>
          <w:szCs w:val="17"/>
          <w:color w:val="auto"/>
        </w:rPr>
        <w:t xml:space="preserve"> Michael Shap</w:t>
      </w:r>
    </w:p>
    <w:p>
      <w:pPr>
        <w:spacing w:after="0" w:line="36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Chief Financial Officer (Principal Financial Officer and Duly Authorized Offic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40"/>
          </w:cols>
          <w:pgMar w:left="320" w:top="122" w:right="239" w:bottom="1440" w:gutter="0" w:footer="0" w:header="0"/>
        </w:sectPr>
      </w:pPr>
    </w:p>
    <w:bookmarkStart w:id="32" w:name="page33"/>
    <w:bookmarkEnd w:id="32"/>
    <w:p>
      <w:pPr>
        <w:ind w:left="10240"/>
        <w:spacing w:after="0"/>
        <w:rPr>
          <w:sz w:val="20"/>
          <w:szCs w:val="20"/>
          <w:color w:val="auto"/>
        </w:rPr>
      </w:pPr>
      <w:r>
        <w:rPr>
          <w:rFonts w:ascii="Arial" w:cs="Arial" w:eastAsia="Arial" w:hAnsi="Arial"/>
          <w:sz w:val="16"/>
          <w:szCs w:val="16"/>
          <w:b w:val="1"/>
          <w:bCs w:val="1"/>
          <w:color w:val="auto"/>
        </w:rPr>
        <w:t>EXHIBIT 31.1</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CERTIFICATION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John Rademacher, certify that:</w:t>
      </w:r>
    </w:p>
    <w:p>
      <w:pPr>
        <w:spacing w:after="0" w:line="102"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Option Care Health, Inc.;</w:t>
      </w:r>
    </w:p>
    <w:p>
      <w:pPr>
        <w:spacing w:after="0" w:line="88" w:lineRule="exact"/>
        <w:rPr>
          <w:rFonts w:ascii="Arial" w:cs="Arial" w:eastAsia="Arial" w:hAnsi="Arial"/>
          <w:sz w:val="17"/>
          <w:szCs w:val="17"/>
          <w:color w:val="auto"/>
        </w:rPr>
      </w:pPr>
    </w:p>
    <w:p>
      <w:pPr>
        <w:ind w:left="620" w:hanging="617"/>
        <w:spacing w:after="0" w:line="350" w:lineRule="auto"/>
        <w:tabs>
          <w:tab w:leader="none" w:pos="3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83"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620" w:hanging="617"/>
        <w:spacing w:after="0" w:line="26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ind w:left="1240" w:hanging="616"/>
        <w:spacing w:after="0" w:line="268" w:lineRule="auto"/>
        <w:tabs>
          <w:tab w:leader="none" w:pos="1118"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jc w:val="both"/>
        <w:ind w:left="1240" w:hanging="616"/>
        <w:spacing w:after="0" w:line="268" w:lineRule="auto"/>
        <w:tabs>
          <w:tab w:leader="none" w:pos="1203"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7"/>
          <w:szCs w:val="17"/>
          <w:color w:val="auto"/>
        </w:rPr>
      </w:pPr>
    </w:p>
    <w:p>
      <w:pPr>
        <w:ind w:left="1240" w:hanging="616"/>
        <w:spacing w:after="0" w:line="283" w:lineRule="auto"/>
        <w:tabs>
          <w:tab w:leader="none" w:pos="1026"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1240" w:hanging="616"/>
        <w:spacing w:after="0" w:line="268" w:lineRule="auto"/>
        <w:tabs>
          <w:tab w:leader="none" w:pos="1043"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620" w:hanging="617"/>
        <w:spacing w:after="0" w:line="283" w:lineRule="auto"/>
        <w:tabs>
          <w:tab w:leader="none" w:pos="34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7"/>
          <w:szCs w:val="17"/>
          <w:color w:val="auto"/>
        </w:rPr>
      </w:pPr>
    </w:p>
    <w:p>
      <w:pPr>
        <w:ind w:left="1240" w:hanging="616"/>
        <w:spacing w:after="0" w:line="283" w:lineRule="auto"/>
        <w:tabs>
          <w:tab w:leader="none" w:pos="1089"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1240" w:hanging="616"/>
        <w:spacing w:after="0" w:line="283" w:lineRule="auto"/>
        <w:tabs>
          <w:tab w:leader="none" w:pos="1088"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2022</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/s/ John Rademacher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John Rademacher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President, Chief Executive Officer and Principal Executive Officer</w:t>
      </w:r>
    </w:p>
    <w:p>
      <w:pPr>
        <w:sectPr>
          <w:pgSz w:w="11900" w:h="16838" w:orient="portrait"/>
          <w:cols w:equalWidth="0" w:num="1">
            <w:col w:w="11240"/>
          </w:cols>
          <w:pgMar w:left="320" w:top="862"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31.2</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CERTIFICATION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Michael Shapiro, certify that:</w:t>
      </w:r>
    </w:p>
    <w:p>
      <w:pPr>
        <w:spacing w:after="0" w:line="102" w:lineRule="exact"/>
        <w:rPr>
          <w:sz w:val="20"/>
          <w:szCs w:val="20"/>
          <w:color w:val="auto"/>
        </w:rPr>
      </w:pPr>
    </w:p>
    <w:p>
      <w:pPr>
        <w:ind w:left="340" w:hanging="337"/>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Option Care Health, Inc.;</w:t>
      </w:r>
    </w:p>
    <w:p>
      <w:pPr>
        <w:spacing w:after="0" w:line="88" w:lineRule="exact"/>
        <w:rPr>
          <w:rFonts w:ascii="Arial" w:cs="Arial" w:eastAsia="Arial" w:hAnsi="Arial"/>
          <w:sz w:val="17"/>
          <w:szCs w:val="17"/>
          <w:color w:val="auto"/>
        </w:rPr>
      </w:pPr>
    </w:p>
    <w:p>
      <w:pPr>
        <w:ind w:left="620" w:hanging="617"/>
        <w:spacing w:after="0" w:line="350" w:lineRule="auto"/>
        <w:tabs>
          <w:tab w:leader="none" w:pos="3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83"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620" w:hanging="617"/>
        <w:spacing w:after="0" w:line="268" w:lineRule="auto"/>
        <w:tabs>
          <w:tab w:leader="none" w:pos="37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ind w:left="1240" w:hanging="616"/>
        <w:spacing w:after="0" w:line="268" w:lineRule="auto"/>
        <w:tabs>
          <w:tab w:leader="none" w:pos="1118"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jc w:val="both"/>
        <w:ind w:left="1240" w:hanging="616"/>
        <w:spacing w:after="0" w:line="268" w:lineRule="auto"/>
        <w:tabs>
          <w:tab w:leader="none" w:pos="1203"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7"/>
          <w:szCs w:val="17"/>
          <w:color w:val="auto"/>
        </w:rPr>
      </w:pPr>
    </w:p>
    <w:p>
      <w:pPr>
        <w:ind w:left="1240" w:hanging="616"/>
        <w:spacing w:after="0" w:line="283" w:lineRule="auto"/>
        <w:tabs>
          <w:tab w:leader="none" w:pos="1026"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1240" w:hanging="616"/>
        <w:spacing w:after="0" w:line="268" w:lineRule="auto"/>
        <w:tabs>
          <w:tab w:leader="none" w:pos="1043"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620" w:hanging="617"/>
        <w:spacing w:after="0" w:line="283" w:lineRule="auto"/>
        <w:tabs>
          <w:tab w:leader="none" w:pos="34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7"/>
          <w:szCs w:val="17"/>
          <w:color w:val="auto"/>
        </w:rPr>
      </w:pPr>
    </w:p>
    <w:p>
      <w:pPr>
        <w:ind w:left="1240" w:hanging="616"/>
        <w:spacing w:after="0" w:line="283" w:lineRule="auto"/>
        <w:tabs>
          <w:tab w:leader="none" w:pos="108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1240" w:hanging="616"/>
        <w:spacing w:after="0" w:line="283" w:lineRule="auto"/>
        <w:tabs>
          <w:tab w:leader="none" w:pos="1088" w:val="left"/>
        </w:tabs>
        <w:numPr>
          <w:ilvl w:val="1"/>
          <w:numId w:val="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 Michael Shapiro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Michael Shapiro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and Principal Financial Officer</w:t>
      </w:r>
    </w:p>
    <w:p>
      <w:pPr>
        <w:sectPr>
          <w:pgSz w:w="11900" w:h="16838" w:orient="portrait"/>
          <w:cols w:equalWidth="0" w:num="1">
            <w:col w:w="11240"/>
          </w:cols>
          <w:pgMar w:left="320" w:top="862"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32.1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8" w:lineRule="exact"/>
        <w:rPr>
          <w:sz w:val="20"/>
          <w:szCs w:val="20"/>
          <w:color w:val="auto"/>
        </w:rPr>
      </w:pPr>
    </w:p>
    <w:p>
      <w:pPr>
        <w:jc w:val="both"/>
        <w:ind w:firstLine="212"/>
        <w:spacing w:after="0" w:line="268"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March 31, 2022,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3" w:lineRule="exact"/>
        <w:rPr>
          <w:sz w:val="20"/>
          <w:szCs w:val="20"/>
          <w:color w:val="auto"/>
        </w:rPr>
      </w:pPr>
    </w:p>
    <w:p>
      <w:pPr>
        <w:ind w:left="420" w:hanging="417"/>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1" w:lineRule="exact"/>
        <w:rPr>
          <w:rFonts w:ascii="Arial" w:cs="Arial" w:eastAsia="Arial" w:hAnsi="Arial"/>
          <w:sz w:val="17"/>
          <w:szCs w:val="17"/>
          <w:color w:val="auto"/>
        </w:rPr>
      </w:pPr>
    </w:p>
    <w:p>
      <w:pPr>
        <w:ind w:left="380" w:hanging="377"/>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John Rademacher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John Rademacher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President, Chief Executive Officer and Principal Executive Officer</w:t>
      </w:r>
    </w:p>
    <w:p>
      <w:pPr>
        <w:sectPr>
          <w:pgSz w:w="11900" w:h="16838" w:orient="portrait"/>
          <w:cols w:equalWidth="0" w:num="1">
            <w:col w:w="11240"/>
          </w:cols>
          <w:pgMar w:left="320" w:top="85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32.2</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8" w:lineRule="exact"/>
        <w:rPr>
          <w:sz w:val="20"/>
          <w:szCs w:val="20"/>
          <w:color w:val="auto"/>
        </w:rPr>
      </w:pPr>
    </w:p>
    <w:p>
      <w:pPr>
        <w:jc w:val="both"/>
        <w:ind w:firstLine="212"/>
        <w:spacing w:after="0" w:line="268"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March 31, 2022,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3" w:lineRule="exact"/>
        <w:rPr>
          <w:sz w:val="20"/>
          <w:szCs w:val="20"/>
          <w:color w:val="auto"/>
        </w:rPr>
      </w:pPr>
    </w:p>
    <w:p>
      <w:pPr>
        <w:ind w:left="420" w:hanging="417"/>
        <w:spacing w:after="0"/>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1" w:lineRule="exact"/>
        <w:rPr>
          <w:rFonts w:ascii="Arial" w:cs="Arial" w:eastAsia="Arial" w:hAnsi="Arial"/>
          <w:sz w:val="17"/>
          <w:szCs w:val="17"/>
          <w:color w:val="auto"/>
        </w:rPr>
      </w:pPr>
    </w:p>
    <w:p>
      <w:pPr>
        <w:ind w:left="380" w:hanging="377"/>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Michael Shapiro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Michael Shapiro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and Principal Financial Officer</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2022-04-28T16:07:46Z</dcterms:created>
  <dcterms:modified xsi:type="dcterms:W3CDTF">2022-04-28T16:07:46Z</dcterms:modified>
</cp:coreProperties>
</file>