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491490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4"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00" w:right="222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1100"/>
        <w:spacing w:after="0"/>
        <w:tabs>
          <w:tab w:leader="none" w:pos="3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12065</wp:posOffset>
            </wp:positionV>
            <wp:extent cx="135445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913" w:right="339" w:bottom="1440" w:gutter="0" w:footer="0" w:header="0"/>
        </w:sectPr>
      </w:pPr>
    </w:p>
    <w:p>
      <w:pPr>
        <w:spacing w:after="0" w:line="122"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(State of incorporation)</w:t>
      </w:r>
    </w:p>
    <w:p>
      <w:pPr>
        <w:spacing w:after="0" w:line="28"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05-0489664</w:t>
      </w:r>
    </w:p>
    <w:p>
      <w:pPr>
        <w:spacing w:after="0" w:line="36" w:lineRule="exact"/>
        <w:rPr>
          <w:sz w:val="24"/>
          <w:szCs w:val="24"/>
          <w:color w:val="auto"/>
        </w:rPr>
      </w:pPr>
    </w:p>
    <w:p>
      <w:pPr>
        <w:jc w:val="center"/>
        <w:ind w:right="1960"/>
        <w:spacing w:after="0"/>
        <w:rPr>
          <w:sz w:val="20"/>
          <w:szCs w:val="20"/>
          <w:color w:val="auto"/>
        </w:rPr>
      </w:pPr>
      <w:r>
        <w:rPr>
          <w:rFonts w:ascii="Arial" w:cs="Arial" w:eastAsia="Arial" w:hAnsi="Arial"/>
          <w:sz w:val="15"/>
          <w:szCs w:val="15"/>
          <w:i w:val="1"/>
          <w:iCs w:val="1"/>
          <w:color w:val="auto"/>
        </w:rPr>
        <w:t>(I.R.S. Employer Identification No.)</w:t>
      </w:r>
    </w:p>
    <w:p>
      <w:pPr>
        <w:spacing w:after="0" w:line="4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60015</w:t>
      </w:r>
    </w:p>
    <w:p>
      <w:pPr>
        <w:spacing w:after="0" w:line="36" w:lineRule="exact"/>
        <w:rPr>
          <w:sz w:val="24"/>
          <w:szCs w:val="24"/>
          <w:color w:val="auto"/>
        </w:rPr>
      </w:pPr>
    </w:p>
    <w:p>
      <w:pPr>
        <w:sectPr>
          <w:pgSz w:w="11900" w:h="16838" w:orient="portrait"/>
          <w:cols w:equalWidth="0" w:num="2">
            <w:col w:w="6240" w:space="720"/>
            <w:col w:w="4280"/>
          </w:cols>
          <w:pgMar w:left="320" w:top="913" w:right="339" w:bottom="1440" w:gutter="0" w:footer="0" w:header="0"/>
          <w:type w:val="continuous"/>
        </w:sectPr>
      </w:pPr>
    </w:p>
    <w:p>
      <w:pPr>
        <w:ind w:left="14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(Zip Code)</w:t>
      </w:r>
    </w:p>
    <w:p>
      <w:pPr>
        <w:spacing w:after="0" w:line="121" w:lineRule="exact"/>
        <w:rPr>
          <w:sz w:val="24"/>
          <w:szCs w:val="24"/>
          <w:color w:val="auto"/>
        </w:rPr>
      </w:pPr>
    </w:p>
    <w:p>
      <w:pPr>
        <w:sectPr>
          <w:pgSz w:w="11900" w:h="16838" w:orient="portrait"/>
          <w:cols w:equalWidth="0" w:num="2">
            <w:col w:w="7040" w:space="720"/>
            <w:col w:w="3480"/>
          </w:cols>
          <w:pgMar w:left="320" w:top="913" w:right="339" w:bottom="1440" w:gutter="0" w:footer="0" w:header="0"/>
          <w:type w:val="continuous"/>
        </w:sectPr>
      </w:pPr>
    </w:p>
    <w:p>
      <w:pPr>
        <w:ind w:left="38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35" w:lineRule="exact"/>
        <w:rPr>
          <w:sz w:val="24"/>
          <w:szCs w:val="24"/>
          <w:color w:val="auto"/>
        </w:rPr>
      </w:pPr>
    </w:p>
    <w:p>
      <w:pPr>
        <w:ind w:left="5160"/>
        <w:spacing w:after="0"/>
        <w:rPr>
          <w:sz w:val="20"/>
          <w:szCs w:val="20"/>
          <w:color w:val="auto"/>
        </w:rPr>
      </w:pPr>
      <w:r>
        <w:rPr>
          <w:rFonts w:ascii="Arial" w:cs="Arial" w:eastAsia="Arial" w:hAnsi="Arial"/>
          <w:sz w:val="16"/>
          <w:szCs w:val="16"/>
          <w:b w:val="1"/>
          <w:bCs w:val="1"/>
          <w:color w:val="auto"/>
        </w:rPr>
        <w:t>312-940-2443</w:t>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913" w:right="339" w:bottom="1440" w:gutter="0" w:footer="0" w:header="0"/>
          <w:type w:val="continuous"/>
        </w:sectPr>
      </w:pPr>
    </w:p>
    <w:p>
      <w:pPr>
        <w:spacing w:after="0" w:line="132"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340" w:space="720"/>
            <w:col w:w="2080" w:space="720"/>
            <w:col w:w="3380"/>
          </w:cols>
          <w:pgMar w:left="320" w:top="913"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2" w:lineRule="exact"/>
        <w:rPr>
          <w:sz w:val="24"/>
          <w:szCs w:val="24"/>
          <w:color w:val="auto"/>
        </w:rPr>
      </w:pPr>
    </w:p>
    <w:p>
      <w:pPr>
        <w:sectPr>
          <w:pgSz w:w="11900" w:h="16838" w:orient="portrait"/>
          <w:cols w:equalWidth="0" w:num="3">
            <w:col w:w="4680" w:space="720"/>
            <w:col w:w="2280" w:space="720"/>
            <w:col w:w="284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1240"/>
          </w:cols>
          <w:pgMar w:left="320" w:top="913" w:right="339" w:bottom="1440" w:gutter="0" w:footer="0" w:header="0"/>
          <w:type w:val="continuous"/>
        </w:sectPr>
      </w:pPr>
    </w:p>
    <w:p>
      <w:pPr>
        <w:spacing w:after="0" w:line="2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2">
            <w:col w:w="8100" w:space="220"/>
            <w:col w:w="2920"/>
          </w:cols>
          <w:pgMar w:left="320" w:top="913"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8260" w:space="200"/>
            <w:col w:w="2780"/>
          </w:cols>
          <w:pgMar w:left="320" w:top="913"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12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31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ind w:left="1160"/>
        <w:spacing w:after="0" w:line="184" w:lineRule="exact"/>
        <w:tabs>
          <w:tab w:leader="none" w:pos="2980" w:val="left"/>
          <w:tab w:leader="none" w:pos="4460" w:val="left"/>
          <w:tab w:leader="none" w:pos="62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30"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73" w:lineRule="exact"/>
        <w:tabs>
          <w:tab w:leader="none" w:pos="80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4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June 30, 2020, the last business day of the registrant’s most recently completed second fiscal quarter, was approximately $473,322,477 based on the closing price of the registrant’s Common Stock on the Nasdaq Global Select Market on such date.</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March 8, 2021, there were 179,814,189 shares of the registrant’s Common Stock outstanding.</w:t>
      </w:r>
    </w:p>
    <w:p>
      <w:pPr>
        <w:spacing w:after="0" w:line="96"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Portions of the registrant’s definitive proxy statement for its 2021 Annual Meeting of Stockholders to be filed with the Securities and Exchange Commission (the “SEC”) within 120 days after the close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8340" w:type="dxa"/>
            <w:vAlign w:val="bottom"/>
          </w:tcPr>
          <w:p>
            <w:pPr>
              <w:jc w:val="center"/>
              <w:ind w:left="299"/>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0"/>
                <w:szCs w:val="20"/>
                <w:color w:val="auto"/>
              </w:rPr>
            </w:pPr>
          </w:p>
        </w:tc>
      </w:tr>
      <w:tr>
        <w:trPr>
          <w:trHeight w:val="513"/>
        </w:trPr>
        <w:tc>
          <w:tcPr>
            <w:tcW w:w="12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12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b w:val="1"/>
                <w:bCs w:val="1"/>
                <w:color w:val="auto"/>
                <w:w w:val="92"/>
              </w:rPr>
              <w:t>Number</w:t>
            </w:r>
          </w:p>
        </w:tc>
      </w:tr>
      <w:tr>
        <w:trPr>
          <w:trHeight w:val="216"/>
        </w:trPr>
        <w:tc>
          <w:tcPr>
            <w:tcW w:w="1240" w:type="dxa"/>
            <w:vAlign w:val="bottom"/>
          </w:tcPr>
          <w:p>
            <w:pPr>
              <w:spacing w:after="0"/>
              <w:rPr>
                <w:sz w:val="18"/>
                <w:szCs w:val="18"/>
                <w:color w:val="auto"/>
              </w:rPr>
            </w:pPr>
          </w:p>
        </w:tc>
        <w:tc>
          <w:tcPr>
            <w:tcW w:w="8340" w:type="dxa"/>
            <w:vAlign w:val="bottom"/>
          </w:tcPr>
          <w:p>
            <w:pPr>
              <w:jc w:val="center"/>
              <w:ind w:left="279"/>
              <w:spacing w:after="0"/>
              <w:rPr>
                <w:sz w:val="20"/>
                <w:szCs w:val="20"/>
                <w:color w:val="auto"/>
              </w:rPr>
            </w:pPr>
            <w:r>
              <w:rPr>
                <w:rFonts w:ascii="Arial" w:cs="Arial" w:eastAsia="Arial" w:hAnsi="Arial"/>
                <w:sz w:val="16"/>
                <w:szCs w:val="16"/>
                <w:b w:val="1"/>
                <w:bCs w:val="1"/>
                <w:color w:val="auto"/>
              </w:rPr>
              <w:t>PART I</w:t>
            </w:r>
          </w:p>
        </w:tc>
        <w:tc>
          <w:tcPr>
            <w:tcW w:w="1400" w:type="dxa"/>
            <w:vAlign w:val="bottom"/>
          </w:tcPr>
          <w:p>
            <w:pPr>
              <w:spacing w:after="0"/>
              <w:rPr>
                <w:sz w:val="18"/>
                <w:szCs w:val="18"/>
                <w:color w:val="auto"/>
              </w:rPr>
            </w:pPr>
          </w:p>
        </w:tc>
      </w:tr>
      <w:tr>
        <w:trPr>
          <w:trHeight w:val="378"/>
        </w:trPr>
        <w:tc>
          <w:tcPr>
            <w:tcW w:w="1240" w:type="dxa"/>
            <w:vAlign w:val="bottom"/>
          </w:tcPr>
          <w:p>
            <w:pPr>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Business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4</w:t>
              </w:r>
            </w:hyperlink>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Item 1A.</w:t>
              </w:r>
            </w:hyperlink>
          </w:p>
        </w:tc>
        <w:tc>
          <w:tcPr>
            <w:tcW w:w="8340" w:type="dxa"/>
            <w:vAlign w:val="bottom"/>
          </w:tcPr>
          <w:p>
            <w:pPr>
              <w:ind w:left="260"/>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Risk Factors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12">
              <w:r>
                <w:rPr>
                  <w:rFonts w:ascii="Arial" w:cs="Arial" w:eastAsia="Arial" w:hAnsi="Arial"/>
                  <w:sz w:val="16"/>
                  <w:szCs w:val="16"/>
                  <w:u w:val="single" w:color="auto"/>
                  <w:color w:val="0000FF"/>
                  <w:w w:val="89"/>
                </w:rPr>
                <w:t>12</w:t>
              </w:r>
            </w:hyperlink>
          </w:p>
        </w:tc>
      </w:tr>
      <w:tr>
        <w:trPr>
          <w:trHeight w:val="216"/>
        </w:trPr>
        <w:tc>
          <w:tcPr>
            <w:tcW w:w="1240" w:type="dxa"/>
            <w:vAlign w:val="bottom"/>
          </w:tcPr>
          <w:p>
            <w:pPr>
              <w:spacing w:after="0"/>
              <w:rPr>
                <w:rFonts w:ascii="Arial" w:cs="Arial" w:eastAsia="Arial" w:hAnsi="Arial"/>
                <w:sz w:val="16"/>
                <w:szCs w:val="16"/>
                <w:color w:val="0000FF"/>
              </w:rPr>
            </w:pPr>
            <w:hyperlink w:anchor="page28">
              <w:r>
                <w:rPr>
                  <w:rFonts w:ascii="Arial" w:cs="Arial" w:eastAsia="Arial" w:hAnsi="Arial"/>
                  <w:sz w:val="16"/>
                  <w:szCs w:val="16"/>
                  <w:u w:val="single" w:color="auto"/>
                  <w:color w:val="0000FF"/>
                </w:rPr>
                <w:t>Item 1B</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Unresolved Staff Comments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28">
              <w:r>
                <w:rPr>
                  <w:rFonts w:ascii="Arial" w:cs="Arial" w:eastAsia="Arial" w:hAnsi="Arial"/>
                  <w:sz w:val="16"/>
                  <w:szCs w:val="16"/>
                  <w:u w:val="single" w:color="auto"/>
                  <w:color w:val="0000FF"/>
                  <w:w w:val="89"/>
                </w:rPr>
                <w:t>28</w:t>
              </w:r>
            </w:hyperlink>
          </w:p>
        </w:tc>
      </w:tr>
      <w:tr>
        <w:trPr>
          <w:trHeight w:val="216"/>
        </w:trPr>
        <w:tc>
          <w:tcPr>
            <w:tcW w:w="1240" w:type="dxa"/>
            <w:vAlign w:val="bottom"/>
          </w:tcPr>
          <w:p>
            <w:pPr>
              <w:spacing w:after="0"/>
              <w:rPr>
                <w:rFonts w:ascii="Arial" w:cs="Arial" w:eastAsia="Arial" w:hAnsi="Arial"/>
                <w:sz w:val="16"/>
                <w:szCs w:val="16"/>
                <w:color w:val="0000FF"/>
              </w:rPr>
            </w:pPr>
            <w:hyperlink w:anchor="page28">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Properties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28">
              <w:r>
                <w:rPr>
                  <w:rFonts w:ascii="Arial" w:cs="Arial" w:eastAsia="Arial" w:hAnsi="Arial"/>
                  <w:sz w:val="16"/>
                  <w:szCs w:val="16"/>
                  <w:u w:val="single" w:color="auto"/>
                  <w:color w:val="0000FF"/>
                  <w:w w:val="89"/>
                </w:rPr>
                <w:t>29</w:t>
              </w:r>
            </w:hyperlink>
          </w:p>
        </w:tc>
      </w:tr>
      <w:tr>
        <w:trPr>
          <w:trHeight w:val="216"/>
        </w:trPr>
        <w:tc>
          <w:tcPr>
            <w:tcW w:w="1240" w:type="dxa"/>
            <w:vAlign w:val="bottom"/>
          </w:tcPr>
          <w:p>
            <w:pPr>
              <w:spacing w:after="0"/>
              <w:rPr>
                <w:rFonts w:ascii="Arial" w:cs="Arial" w:eastAsia="Arial" w:hAnsi="Arial"/>
                <w:sz w:val="16"/>
                <w:szCs w:val="16"/>
                <w:color w:val="0000FF"/>
              </w:rPr>
            </w:pPr>
            <w:hyperlink w:anchor="page29">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Legal Proceedings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29</w:t>
              </w:r>
            </w:hyperlink>
          </w:p>
        </w:tc>
      </w:tr>
      <w:tr>
        <w:trPr>
          <w:trHeight w:val="216"/>
        </w:trPr>
        <w:tc>
          <w:tcPr>
            <w:tcW w:w="1240" w:type="dxa"/>
            <w:vAlign w:val="bottom"/>
          </w:tcPr>
          <w:p>
            <w:pPr>
              <w:spacing w:after="0"/>
              <w:rPr>
                <w:rFonts w:ascii="Arial" w:cs="Arial" w:eastAsia="Arial" w:hAnsi="Arial"/>
                <w:sz w:val="16"/>
                <w:szCs w:val="16"/>
                <w:color w:val="0000FF"/>
              </w:rPr>
            </w:pPr>
            <w:hyperlink w:anchor="page29">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Mine Safety Disclosures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29</w:t>
              </w:r>
            </w:hyperlink>
          </w:p>
        </w:tc>
      </w:tr>
      <w:tr>
        <w:trPr>
          <w:trHeight w:val="378"/>
        </w:trPr>
        <w:tc>
          <w:tcPr>
            <w:tcW w:w="1240" w:type="dxa"/>
            <w:vAlign w:val="bottom"/>
          </w:tcPr>
          <w:p>
            <w:pPr>
              <w:spacing w:after="0"/>
              <w:rPr>
                <w:sz w:val="24"/>
                <w:szCs w:val="24"/>
                <w:color w:val="auto"/>
              </w:rPr>
            </w:pPr>
          </w:p>
        </w:tc>
        <w:tc>
          <w:tcPr>
            <w:tcW w:w="8340" w:type="dxa"/>
            <w:vAlign w:val="bottom"/>
          </w:tcPr>
          <w:p>
            <w:pPr>
              <w:jc w:val="center"/>
              <w:ind w:left="279"/>
              <w:spacing w:after="0"/>
              <w:rPr>
                <w:sz w:val="20"/>
                <w:szCs w:val="20"/>
                <w:color w:val="auto"/>
              </w:rPr>
            </w:pPr>
            <w:r>
              <w:rPr>
                <w:rFonts w:ascii="Arial" w:cs="Arial" w:eastAsia="Arial" w:hAnsi="Arial"/>
                <w:sz w:val="16"/>
                <w:szCs w:val="16"/>
                <w:b w:val="1"/>
                <w:bCs w:val="1"/>
                <w:color w:val="auto"/>
              </w:rPr>
              <w:t>PART II</w:t>
            </w:r>
          </w:p>
        </w:tc>
        <w:tc>
          <w:tcPr>
            <w:tcW w:w="1400" w:type="dxa"/>
            <w:vAlign w:val="bottom"/>
          </w:tcPr>
          <w:p>
            <w:pPr>
              <w:spacing w:after="0"/>
              <w:rPr>
                <w:sz w:val="24"/>
                <w:szCs w:val="24"/>
                <w:color w:val="auto"/>
              </w:rPr>
            </w:pPr>
          </w:p>
        </w:tc>
      </w:tr>
      <w:tr>
        <w:trPr>
          <w:trHeight w:val="378"/>
        </w:trPr>
        <w:tc>
          <w:tcPr>
            <w:tcW w:w="1240" w:type="dxa"/>
            <w:vAlign w:val="bottom"/>
          </w:tcPr>
          <w:p>
            <w:pPr>
              <w:spacing w:after="0"/>
              <w:rPr>
                <w:rFonts w:ascii="Arial" w:cs="Arial" w:eastAsia="Arial" w:hAnsi="Arial"/>
                <w:sz w:val="16"/>
                <w:szCs w:val="16"/>
                <w:color w:val="0000FF"/>
              </w:rPr>
            </w:pPr>
            <w:hyperlink w:anchor="page30">
              <w:r>
                <w:rPr>
                  <w:rFonts w:ascii="Arial" w:cs="Arial" w:eastAsia="Arial" w:hAnsi="Arial"/>
                  <w:sz w:val="16"/>
                  <w:szCs w:val="16"/>
                  <w:u w:val="single" w:color="auto"/>
                  <w:color w:val="0000FF"/>
                </w:rPr>
                <w:t>Item 5</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Market for Registrant’s Common Equity, Related Stockholder Matters and Issuer Purchases of Equity Securities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30">
              <w:r>
                <w:rPr>
                  <w:rFonts w:ascii="Arial" w:cs="Arial" w:eastAsia="Arial" w:hAnsi="Arial"/>
                  <w:sz w:val="16"/>
                  <w:szCs w:val="16"/>
                  <w:u w:val="single" w:color="auto"/>
                  <w:color w:val="0000FF"/>
                  <w:w w:val="89"/>
                </w:rPr>
                <w:t>30</w:t>
              </w:r>
            </w:hyperlink>
          </w:p>
        </w:tc>
      </w:tr>
      <w:tr>
        <w:trPr>
          <w:trHeight w:val="216"/>
        </w:trPr>
        <w:tc>
          <w:tcPr>
            <w:tcW w:w="1240" w:type="dxa"/>
            <w:vAlign w:val="bottom"/>
          </w:tcPr>
          <w:p>
            <w:pPr>
              <w:spacing w:after="0"/>
              <w:rPr>
                <w:rFonts w:ascii="Arial" w:cs="Arial" w:eastAsia="Arial" w:hAnsi="Arial"/>
                <w:sz w:val="16"/>
                <w:szCs w:val="16"/>
                <w:color w:val="0000FF"/>
              </w:rPr>
            </w:pPr>
            <w:hyperlink w:anchor="page31">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Selected Financial Data</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31">
              <w:r>
                <w:rPr>
                  <w:rFonts w:ascii="Arial" w:cs="Arial" w:eastAsia="Arial" w:hAnsi="Arial"/>
                  <w:sz w:val="16"/>
                  <w:szCs w:val="16"/>
                  <w:u w:val="single" w:color="auto"/>
                  <w:color w:val="0000FF"/>
                  <w:w w:val="89"/>
                </w:rPr>
                <w:t>32</w:t>
              </w:r>
            </w:hyperlink>
          </w:p>
        </w:tc>
      </w:tr>
      <w:tr>
        <w:trPr>
          <w:trHeight w:val="216"/>
        </w:trPr>
        <w:tc>
          <w:tcPr>
            <w:tcW w:w="1240" w:type="dxa"/>
            <w:vAlign w:val="bottom"/>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7</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Management’s Discussion and Analysis of Financial Condition and Results of Operations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33">
              <w:r>
                <w:rPr>
                  <w:rFonts w:ascii="Arial" w:cs="Arial" w:eastAsia="Arial" w:hAnsi="Arial"/>
                  <w:sz w:val="16"/>
                  <w:szCs w:val="16"/>
                  <w:u w:val="single" w:color="auto"/>
                  <w:color w:val="0000FF"/>
                  <w:w w:val="89"/>
                </w:rPr>
                <w:t>33</w:t>
              </w:r>
            </w:hyperlink>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7A.</w:t>
              </w:r>
            </w:hyperlink>
          </w:p>
        </w:tc>
        <w:tc>
          <w:tcPr>
            <w:tcW w:w="8340" w:type="dxa"/>
            <w:vAlign w:val="bottom"/>
          </w:tcPr>
          <w:p>
            <w:pPr>
              <w:ind w:left="26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Quantitative and Qualitative Disclosures About Market Risk</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46">
              <w:r>
                <w:rPr>
                  <w:rFonts w:ascii="Arial" w:cs="Arial" w:eastAsia="Arial" w:hAnsi="Arial"/>
                  <w:sz w:val="16"/>
                  <w:szCs w:val="16"/>
                  <w:u w:val="single" w:color="auto"/>
                  <w:color w:val="0000FF"/>
                  <w:w w:val="89"/>
                </w:rPr>
                <w:t>46</w:t>
              </w:r>
            </w:hyperlink>
          </w:p>
        </w:tc>
      </w:tr>
      <w:tr>
        <w:trPr>
          <w:trHeight w:val="216"/>
        </w:trPr>
        <w:tc>
          <w:tcPr>
            <w:tcW w:w="1240" w:type="dxa"/>
            <w:vAlign w:val="bottom"/>
          </w:tcPr>
          <w:p>
            <w:pPr>
              <w:spacing w:after="0"/>
              <w:rPr>
                <w:rFonts w:ascii="Arial" w:cs="Arial" w:eastAsia="Arial" w:hAnsi="Arial"/>
                <w:sz w:val="16"/>
                <w:szCs w:val="16"/>
                <w:color w:val="0000FF"/>
              </w:rPr>
            </w:pPr>
            <w:hyperlink w:anchor="page46">
              <w:r>
                <w:rPr>
                  <w:rFonts w:ascii="Arial" w:cs="Arial" w:eastAsia="Arial" w:hAnsi="Arial"/>
                  <w:sz w:val="16"/>
                  <w:szCs w:val="16"/>
                  <w:u w:val="single" w:color="auto"/>
                  <w:color w:val="0000FF"/>
                </w:rPr>
                <w:t>Item 8</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Financial Statements and Supplementary Data</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46">
              <w:r>
                <w:rPr>
                  <w:rFonts w:ascii="Arial" w:cs="Arial" w:eastAsia="Arial" w:hAnsi="Arial"/>
                  <w:sz w:val="16"/>
                  <w:szCs w:val="16"/>
                  <w:u w:val="single" w:color="auto"/>
                  <w:color w:val="0000FF"/>
                  <w:w w:val="89"/>
                </w:rPr>
                <w:t>47</w:t>
              </w:r>
            </w:hyperlink>
          </w:p>
        </w:tc>
      </w:tr>
      <w:tr>
        <w:trPr>
          <w:trHeight w:val="216"/>
        </w:trPr>
        <w:tc>
          <w:tcPr>
            <w:tcW w:w="1240" w:type="dxa"/>
            <w:vAlign w:val="bottom"/>
          </w:tcPr>
          <w:p>
            <w:pPr>
              <w:spacing w:after="0"/>
              <w:rPr>
                <w:rFonts w:ascii="Arial" w:cs="Arial" w:eastAsia="Arial" w:hAnsi="Arial"/>
                <w:sz w:val="16"/>
                <w:szCs w:val="16"/>
                <w:color w:val="0000FF"/>
              </w:rPr>
            </w:pPr>
            <w:hyperlink w:anchor="page80">
              <w:r>
                <w:rPr>
                  <w:rFonts w:ascii="Arial" w:cs="Arial" w:eastAsia="Arial" w:hAnsi="Arial"/>
                  <w:sz w:val="16"/>
                  <w:szCs w:val="16"/>
                  <w:u w:val="single" w:color="auto"/>
                  <w:color w:val="0000FF"/>
                </w:rPr>
                <w:t>Item 9</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Changes in and Disagreements with Accountants on Accounting and Financial Disclosure</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0">
              <w:r>
                <w:rPr>
                  <w:rFonts w:ascii="Arial" w:cs="Arial" w:eastAsia="Arial" w:hAnsi="Arial"/>
                  <w:sz w:val="16"/>
                  <w:szCs w:val="16"/>
                  <w:u w:val="single" w:color="auto"/>
                  <w:color w:val="0000FF"/>
                  <w:w w:val="89"/>
                </w:rPr>
                <w:t>81</w:t>
              </w:r>
            </w:hyperlink>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Item 9A.</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Controls and Procedures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1">
              <w:r>
                <w:rPr>
                  <w:rFonts w:ascii="Arial" w:cs="Arial" w:eastAsia="Arial" w:hAnsi="Arial"/>
                  <w:sz w:val="16"/>
                  <w:szCs w:val="16"/>
                  <w:u w:val="single" w:color="auto"/>
                  <w:color w:val="0000FF"/>
                  <w:w w:val="89"/>
                </w:rPr>
                <w:t>81</w:t>
              </w:r>
            </w:hyperlink>
          </w:p>
        </w:tc>
      </w:tr>
      <w:tr>
        <w:trPr>
          <w:trHeight w:val="216"/>
        </w:trPr>
        <w:tc>
          <w:tcPr>
            <w:tcW w:w="1240" w:type="dxa"/>
            <w:vAlign w:val="bottom"/>
          </w:tcPr>
          <w:p>
            <w:pPr>
              <w:spacing w:after="0"/>
              <w:rPr>
                <w:rFonts w:ascii="Arial" w:cs="Arial" w:eastAsia="Arial" w:hAnsi="Arial"/>
                <w:sz w:val="16"/>
                <w:szCs w:val="16"/>
                <w:color w:val="0000FF"/>
              </w:rPr>
            </w:pPr>
            <w:hyperlink w:anchor="page82">
              <w:r>
                <w:rPr>
                  <w:rFonts w:ascii="Arial" w:cs="Arial" w:eastAsia="Arial" w:hAnsi="Arial"/>
                  <w:sz w:val="16"/>
                  <w:szCs w:val="16"/>
                  <w:u w:val="single" w:color="auto"/>
                  <w:color w:val="0000FF"/>
                </w:rPr>
                <w:t>Item 9B</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Other Information</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2">
              <w:r>
                <w:rPr>
                  <w:rFonts w:ascii="Arial" w:cs="Arial" w:eastAsia="Arial" w:hAnsi="Arial"/>
                  <w:sz w:val="16"/>
                  <w:szCs w:val="16"/>
                  <w:u w:val="single" w:color="auto"/>
                  <w:color w:val="0000FF"/>
                  <w:w w:val="89"/>
                </w:rPr>
                <w:t>83</w:t>
              </w:r>
            </w:hyperlink>
          </w:p>
        </w:tc>
      </w:tr>
      <w:tr>
        <w:trPr>
          <w:trHeight w:val="378"/>
        </w:trPr>
        <w:tc>
          <w:tcPr>
            <w:tcW w:w="1240" w:type="dxa"/>
            <w:vAlign w:val="bottom"/>
          </w:tcPr>
          <w:p>
            <w:pPr>
              <w:spacing w:after="0"/>
              <w:rPr>
                <w:sz w:val="24"/>
                <w:szCs w:val="24"/>
                <w:color w:val="auto"/>
              </w:rPr>
            </w:pPr>
          </w:p>
        </w:tc>
        <w:tc>
          <w:tcPr>
            <w:tcW w:w="8340" w:type="dxa"/>
            <w:vAlign w:val="bottom"/>
          </w:tcPr>
          <w:p>
            <w:pPr>
              <w:jc w:val="center"/>
              <w:ind w:left="279"/>
              <w:spacing w:after="0"/>
              <w:rPr>
                <w:sz w:val="20"/>
                <w:szCs w:val="20"/>
                <w:color w:val="auto"/>
              </w:rPr>
            </w:pPr>
            <w:r>
              <w:rPr>
                <w:rFonts w:ascii="Arial" w:cs="Arial" w:eastAsia="Arial" w:hAnsi="Arial"/>
                <w:sz w:val="16"/>
                <w:szCs w:val="16"/>
                <w:b w:val="1"/>
                <w:bCs w:val="1"/>
                <w:color w:val="auto"/>
              </w:rPr>
              <w:t>PART III</w:t>
            </w:r>
          </w:p>
        </w:tc>
        <w:tc>
          <w:tcPr>
            <w:tcW w:w="1400" w:type="dxa"/>
            <w:vAlign w:val="bottom"/>
          </w:tcPr>
          <w:p>
            <w:pPr>
              <w:spacing w:after="0"/>
              <w:rPr>
                <w:sz w:val="24"/>
                <w:szCs w:val="24"/>
                <w:color w:val="auto"/>
              </w:rPr>
            </w:pPr>
          </w:p>
        </w:tc>
      </w:tr>
      <w:tr>
        <w:trPr>
          <w:trHeight w:val="378"/>
        </w:trPr>
        <w:tc>
          <w:tcPr>
            <w:tcW w:w="1240" w:type="dxa"/>
            <w:vAlign w:val="bottom"/>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10</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Directors, Executive Officers and Corporate Governance</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3">
              <w:r>
                <w:rPr>
                  <w:rFonts w:ascii="Arial" w:cs="Arial" w:eastAsia="Arial" w:hAnsi="Arial"/>
                  <w:sz w:val="16"/>
                  <w:szCs w:val="16"/>
                  <w:u w:val="single" w:color="auto"/>
                  <w:color w:val="0000FF"/>
                  <w:w w:val="89"/>
                </w:rPr>
                <w:t>83</w:t>
              </w:r>
            </w:hyperlink>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Item 11.</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Executive Compensation</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3">
              <w:r>
                <w:rPr>
                  <w:rFonts w:ascii="Arial" w:cs="Arial" w:eastAsia="Arial" w:hAnsi="Arial"/>
                  <w:sz w:val="16"/>
                  <w:szCs w:val="16"/>
                  <w:u w:val="single" w:color="auto"/>
                  <w:color w:val="0000FF"/>
                  <w:w w:val="89"/>
                </w:rPr>
                <w:t>83</w:t>
              </w:r>
            </w:hyperlink>
          </w:p>
        </w:tc>
      </w:tr>
      <w:tr>
        <w:trPr>
          <w:trHeight w:val="216"/>
        </w:trPr>
        <w:tc>
          <w:tcPr>
            <w:tcW w:w="1240" w:type="dxa"/>
            <w:vAlign w:val="bottom"/>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12</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Security Ownership of Certain Beneficial Owners and Management and Related Stockholder Matters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3">
              <w:r>
                <w:rPr>
                  <w:rFonts w:ascii="Arial" w:cs="Arial" w:eastAsia="Arial" w:hAnsi="Arial"/>
                  <w:sz w:val="16"/>
                  <w:szCs w:val="16"/>
                  <w:u w:val="single" w:color="auto"/>
                  <w:color w:val="0000FF"/>
                  <w:w w:val="89"/>
                </w:rPr>
                <w:t>83</w:t>
              </w:r>
            </w:hyperlink>
          </w:p>
        </w:tc>
      </w:tr>
      <w:tr>
        <w:trPr>
          <w:trHeight w:val="216"/>
        </w:trPr>
        <w:tc>
          <w:tcPr>
            <w:tcW w:w="1240" w:type="dxa"/>
            <w:vAlign w:val="bottom"/>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13</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Certain Relationships and Related Transactions, and Director Independence</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3">
              <w:r>
                <w:rPr>
                  <w:rFonts w:ascii="Arial" w:cs="Arial" w:eastAsia="Arial" w:hAnsi="Arial"/>
                  <w:sz w:val="16"/>
                  <w:szCs w:val="16"/>
                  <w:u w:val="single" w:color="auto"/>
                  <w:color w:val="0000FF"/>
                  <w:w w:val="89"/>
                </w:rPr>
                <w:t>83</w:t>
              </w:r>
            </w:hyperlink>
          </w:p>
        </w:tc>
      </w:tr>
      <w:tr>
        <w:trPr>
          <w:trHeight w:val="216"/>
        </w:trPr>
        <w:tc>
          <w:tcPr>
            <w:tcW w:w="1240" w:type="dxa"/>
            <w:vAlign w:val="bottom"/>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14</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Principal Accounting Fees and Services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3">
              <w:r>
                <w:rPr>
                  <w:rFonts w:ascii="Arial" w:cs="Arial" w:eastAsia="Arial" w:hAnsi="Arial"/>
                  <w:sz w:val="16"/>
                  <w:szCs w:val="16"/>
                  <w:u w:val="single" w:color="auto"/>
                  <w:color w:val="0000FF"/>
                  <w:w w:val="89"/>
                </w:rPr>
                <w:t>83</w:t>
              </w:r>
            </w:hyperlink>
          </w:p>
        </w:tc>
      </w:tr>
      <w:tr>
        <w:trPr>
          <w:trHeight w:val="378"/>
        </w:trPr>
        <w:tc>
          <w:tcPr>
            <w:tcW w:w="1240" w:type="dxa"/>
            <w:vAlign w:val="bottom"/>
          </w:tcPr>
          <w:p>
            <w:pPr>
              <w:spacing w:after="0"/>
              <w:rPr>
                <w:sz w:val="24"/>
                <w:szCs w:val="24"/>
                <w:color w:val="auto"/>
              </w:rPr>
            </w:pPr>
          </w:p>
        </w:tc>
        <w:tc>
          <w:tcPr>
            <w:tcW w:w="8340" w:type="dxa"/>
            <w:vAlign w:val="bottom"/>
          </w:tcPr>
          <w:p>
            <w:pPr>
              <w:jc w:val="center"/>
              <w:ind w:left="279"/>
              <w:spacing w:after="0"/>
              <w:rPr>
                <w:sz w:val="20"/>
                <w:szCs w:val="20"/>
                <w:color w:val="auto"/>
              </w:rPr>
            </w:pPr>
            <w:r>
              <w:rPr>
                <w:rFonts w:ascii="Arial" w:cs="Arial" w:eastAsia="Arial" w:hAnsi="Arial"/>
                <w:sz w:val="16"/>
                <w:szCs w:val="16"/>
                <w:b w:val="1"/>
                <w:bCs w:val="1"/>
                <w:color w:val="auto"/>
              </w:rPr>
              <w:t>PART IV</w:t>
            </w:r>
          </w:p>
        </w:tc>
        <w:tc>
          <w:tcPr>
            <w:tcW w:w="1400" w:type="dxa"/>
            <w:vAlign w:val="bottom"/>
          </w:tcPr>
          <w:p>
            <w:pPr>
              <w:spacing w:after="0"/>
              <w:rPr>
                <w:sz w:val="24"/>
                <w:szCs w:val="24"/>
                <w:color w:val="auto"/>
              </w:rPr>
            </w:pPr>
          </w:p>
        </w:tc>
      </w:tr>
      <w:tr>
        <w:trPr>
          <w:trHeight w:val="378"/>
        </w:trPr>
        <w:tc>
          <w:tcPr>
            <w:tcW w:w="1240" w:type="dxa"/>
            <w:vAlign w:val="bottom"/>
          </w:tcPr>
          <w:p>
            <w:pPr>
              <w:spacing w:after="0"/>
              <w:rPr>
                <w:rFonts w:ascii="Arial" w:cs="Arial" w:eastAsia="Arial" w:hAnsi="Arial"/>
                <w:sz w:val="16"/>
                <w:szCs w:val="16"/>
                <w:color w:val="0000FF"/>
              </w:rPr>
            </w:pPr>
            <w:hyperlink w:anchor="page84">
              <w:r>
                <w:rPr>
                  <w:rFonts w:ascii="Arial" w:cs="Arial" w:eastAsia="Arial" w:hAnsi="Arial"/>
                  <w:sz w:val="16"/>
                  <w:szCs w:val="16"/>
                  <w:u w:val="single" w:color="auto"/>
                  <w:color w:val="0000FF"/>
                </w:rPr>
                <w:t>Item 15</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Exhibits, Financial Statement Schedules</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4">
              <w:r>
                <w:rPr>
                  <w:rFonts w:ascii="Arial" w:cs="Arial" w:eastAsia="Arial" w:hAnsi="Arial"/>
                  <w:sz w:val="16"/>
                  <w:szCs w:val="16"/>
                  <w:u w:val="single" w:color="auto"/>
                  <w:color w:val="0000FF"/>
                  <w:w w:val="89"/>
                </w:rPr>
                <w:t>84</w:t>
              </w:r>
            </w:hyperlink>
          </w:p>
        </w:tc>
      </w:tr>
      <w:tr>
        <w:trPr>
          <w:trHeight w:val="216"/>
        </w:trPr>
        <w:tc>
          <w:tcPr>
            <w:tcW w:w="1240" w:type="dxa"/>
            <w:vAlign w:val="bottom"/>
          </w:tcPr>
          <w:p>
            <w:pPr>
              <w:spacing w:after="0"/>
              <w:rPr>
                <w:rFonts w:ascii="Arial" w:cs="Arial" w:eastAsia="Arial" w:hAnsi="Arial"/>
                <w:sz w:val="16"/>
                <w:szCs w:val="16"/>
                <w:color w:val="0000FF"/>
              </w:rPr>
            </w:pPr>
            <w:hyperlink w:anchor="page86">
              <w:r>
                <w:rPr>
                  <w:rFonts w:ascii="Arial" w:cs="Arial" w:eastAsia="Arial" w:hAnsi="Arial"/>
                  <w:sz w:val="16"/>
                  <w:szCs w:val="16"/>
                  <w:u w:val="single" w:color="auto"/>
                  <w:color w:val="0000FF"/>
                </w:rPr>
                <w:t>Item 16</w:t>
              </w:r>
              <w:r>
                <w:rPr>
                  <w:rFonts w:ascii="Arial" w:cs="Arial" w:eastAsia="Arial" w:hAnsi="Arial"/>
                  <w:sz w:val="16"/>
                  <w:szCs w:val="16"/>
                  <w:color w:val="0000FF"/>
                </w:rPr>
                <w:t>.</w:t>
              </w:r>
            </w:hyperlink>
          </w:p>
        </w:tc>
        <w:tc>
          <w:tcPr>
            <w:tcW w:w="8340" w:type="dxa"/>
            <w:vAlign w:val="bottom"/>
          </w:tcPr>
          <w:p>
            <w:pPr>
              <w:ind w:left="26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Form 10-K Summary</w:t>
              </w:r>
            </w:hyperlink>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6">
              <w:r>
                <w:rPr>
                  <w:rFonts w:ascii="Arial" w:cs="Arial" w:eastAsia="Arial" w:hAnsi="Arial"/>
                  <w:sz w:val="16"/>
                  <w:szCs w:val="16"/>
                  <w:u w:val="single" w:color="auto"/>
                  <w:color w:val="0000FF"/>
                  <w:w w:val="89"/>
                </w:rPr>
                <w:t>86</w:t>
              </w:r>
            </w:hyperlink>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SIGNATURES</w:t>
              </w:r>
            </w:hyperlink>
          </w:p>
        </w:tc>
        <w:tc>
          <w:tcPr>
            <w:tcW w:w="8340" w:type="dxa"/>
            <w:vAlign w:val="bottom"/>
          </w:tcPr>
          <w:p>
            <w:pPr>
              <w:spacing w:after="0"/>
              <w:rPr>
                <w:sz w:val="18"/>
                <w:szCs w:val="18"/>
                <w:color w:val="auto"/>
              </w:rPr>
            </w:pPr>
          </w:p>
        </w:tc>
        <w:tc>
          <w:tcPr>
            <w:tcW w:w="1400" w:type="dxa"/>
            <w:vAlign w:val="bottom"/>
          </w:tcPr>
          <w:p>
            <w:pPr>
              <w:jc w:val="center"/>
              <w:ind w:left="759"/>
              <w:spacing w:after="0"/>
              <w:rPr>
                <w:rFonts w:ascii="Arial" w:cs="Arial" w:eastAsia="Arial" w:hAnsi="Arial"/>
                <w:sz w:val="16"/>
                <w:szCs w:val="16"/>
                <w:u w:val="single" w:color="auto"/>
                <w:color w:val="0000FF"/>
                <w:w w:val="89"/>
              </w:rPr>
            </w:pPr>
            <w:hyperlink w:anchor="page87">
              <w:r>
                <w:rPr>
                  <w:rFonts w:ascii="Arial" w:cs="Arial" w:eastAsia="Arial" w:hAnsi="Arial"/>
                  <w:sz w:val="16"/>
                  <w:szCs w:val="16"/>
                  <w:u w:val="single" w:color="auto"/>
                  <w:color w:val="0000FF"/>
                  <w:w w:val="89"/>
                </w:rPr>
                <w:t>87</w:t>
              </w:r>
            </w:hyperlink>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40" w:top="891" w:right="5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This Annual Report contains, among others, forward-looking statements based upon current expectations that involve numerous risks and uncertainties, including those described in Item 1A “Risk Factors”.</w:t>
      </w:r>
    </w:p>
    <w:p>
      <w:pPr>
        <w:spacing w:after="0" w:line="150"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0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Care Health, Inc. (“Option Care Health”, “we”, “us”, “our”, or the “Company”) is the largest independent provider of home and alternate site infusion services through its national network of 145 locations in 45 states. Option Care Health draws on nearly 40 years of clinical care experience to offer patient-centered, cost-effective infusion therapy. Option Care Health’s infusion services include the clinical management of infusion therapy, nursing support and care coordination. Option Care Health’s multidisciplinary team of approximately 2,900 clinicians, including pharmacists, pharmacy technicians, nurses and dietitians, are able to provide infusion service coverage for nearly all patients across the United States needing treatment for complex and chronic medical conditions.</w:t>
      </w:r>
    </w:p>
    <w:p>
      <w:pPr>
        <w:spacing w:after="0" w:line="1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5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operating model enables it to provide favorable outcomes to its stakeholders as follows:</w:t>
      </w:r>
    </w:p>
    <w:p>
      <w:pPr>
        <w:spacing w:after="0" w:line="194" w:lineRule="exact"/>
        <w:rPr>
          <w:sz w:val="20"/>
          <w:szCs w:val="20"/>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improves patients’ quality of life by allowing them to receive infusion therapy at home or at one of its ambulatory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98" w:lineRule="exact"/>
        <w:rPr>
          <w:rFonts w:ascii="Arial" w:cs="Arial" w:eastAsia="Arial" w:hAnsi="Arial"/>
          <w:sz w:val="18"/>
          <w:szCs w:val="18"/>
          <w:b w:val="1"/>
          <w:bCs w:val="1"/>
          <w:color w:val="auto"/>
        </w:rPr>
      </w:pPr>
    </w:p>
    <w:p>
      <w:pPr>
        <w:jc w:val="both"/>
        <w:ind w:left="660" w:right="24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payers with a comprehensive approach to meeting their pharmacy service needs and providing a cost-effective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112" w:lineRule="exact"/>
        <w:rPr>
          <w:rFonts w:ascii="Arial" w:cs="Arial" w:eastAsia="Arial" w:hAnsi="Arial"/>
          <w:sz w:val="18"/>
          <w:szCs w:val="18"/>
          <w:b w:val="1"/>
          <w:bCs w:val="1"/>
          <w:color w:val="auto"/>
        </w:rPr>
      </w:pPr>
    </w:p>
    <w:p>
      <w:pPr>
        <w:ind w:left="660" w:right="160" w:hanging="328"/>
        <w:spacing w:after="0" w:line="266"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Physicians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physicians with timely patient clinical support by providing care management related to their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pharmacy needs and improving compliance with therapy protocols. The Company eliminates the need for physicians to carry inventories of high cost prescriptions by distributing the medications directly to patients’ homes.</w:t>
      </w:r>
    </w:p>
    <w:p>
      <w:pPr>
        <w:spacing w:after="0" w:line="108"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Pharmaceutical Manufacturers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collaborates with pharmaceutical manufacturers to provide a broad distribution channel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8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clinical-reported patient adherence rates and decreased rates of un-planned hospital re-admissions.</w:t>
      </w:r>
    </w:p>
    <w:p>
      <w:pPr>
        <w:spacing w:after="0" w:line="122" w:lineRule="exact"/>
        <w:rPr>
          <w:sz w:val="20"/>
          <w:szCs w:val="20"/>
          <w:color w:val="auto"/>
        </w:rPr>
      </w:pPr>
    </w:p>
    <w:p>
      <w:pPr>
        <w:ind w:right="660" w:firstLine="324"/>
        <w:spacing w:after="0" w:line="286" w:lineRule="auto"/>
        <w:rPr>
          <w:sz w:val="20"/>
          <w:szCs w:val="20"/>
          <w:color w:val="auto"/>
        </w:rPr>
      </w:pPr>
      <w:r>
        <w:rPr>
          <w:rFonts w:ascii="Arial" w:cs="Arial" w:eastAsia="Arial" w:hAnsi="Arial"/>
          <w:sz w:val="17"/>
          <w:szCs w:val="17"/>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ACHC accreditation is awarded to healthcare organizations that meet regulatory requirements and accreditation standards, and PCAB accreditation offers the most comprehensive compliance solution in the industry based on more than 40 sterile compounding standards in the U.S. Pharmacopeia Pharmaceutical Compounding - Sterile Preparations Standards (“USP 797”).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is the largest independent provider of home and alternate site infusion services. The Company’s services are most typically provided in the patient’s home, but may also be provided at clinics, the physician’s office or at one of its ambulatory infusion suites. The Company provides a broad therapy portfolio through its network of 99 full service pharmacies and 46 stand-alone ambulatory infusion suites.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137" w:lineRule="exact"/>
        <w:rPr>
          <w:sz w:val="20"/>
          <w:szCs w:val="20"/>
          <w:color w:val="auto"/>
        </w:rPr>
      </w:pPr>
    </w:p>
    <w:p>
      <w:pPr>
        <w:ind w:left="660" w:right="180" w:hanging="328"/>
        <w:spacing w:after="0" w:line="291"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Anti-Infectives Infusion. </w:t>
      </w:r>
      <w:r>
        <w:rPr>
          <w:rFonts w:ascii="Arial" w:cs="Arial" w:eastAsia="Arial" w:hAnsi="Arial"/>
          <w:sz w:val="16"/>
          <w:szCs w:val="16"/>
          <w:color w:val="auto"/>
        </w:rPr>
        <w:t>The Company provides comprehensive home infusion services to combat serious infections in patients of all ages.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anti-infective therapy and services help avoid hospitalizations for many infections that can be safely treated at home.</w:t>
      </w:r>
    </w:p>
    <w:p>
      <w:pPr>
        <w:ind w:left="660" w:right="3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Heart Failure. </w:t>
      </w:r>
      <w:r>
        <w:rPr>
          <w:rFonts w:ascii="Arial" w:cs="Arial" w:eastAsia="Arial" w:hAnsi="Arial"/>
          <w:sz w:val="18"/>
          <w:szCs w:val="18"/>
          <w:color w:val="auto"/>
        </w:rPr>
        <w:t>The Company administers home infusion services to treat heart failure, either in anticipation of cardiac transplant or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palliation of heart failure symptoms.</w:t>
      </w:r>
    </w:p>
    <w:p>
      <w:pPr>
        <w:ind w:left="660" w:right="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Chronic Inflammatory Disorders</w:t>
      </w:r>
      <w:r>
        <w:rPr>
          <w:rFonts w:ascii="Arial" w:cs="Arial" w:eastAsia="Arial" w:hAnsi="Arial"/>
          <w:sz w:val="18"/>
          <w:szCs w:val="18"/>
          <w:color w:val="auto"/>
        </w:rPr>
        <w:t>. The Company treats chronic inflammatory disorders, which include Crohn’s disease, plaque psoriasis, psoriatic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arthritis, rheumatoid arthritis, ulcerative colitis, and other chronic inflammatory disorders.</w:t>
      </w:r>
    </w:p>
    <w:p>
      <w:pPr>
        <w:ind w:left="660" w:hanging="328"/>
        <w:spacing w:after="0" w:line="250"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Immunoglobulin Infusion. </w:t>
      </w:r>
      <w:r>
        <w:rPr>
          <w:rFonts w:ascii="Arial" w:cs="Arial" w:eastAsia="Arial" w:hAnsi="Arial"/>
          <w:sz w:val="18"/>
          <w:szCs w:val="18"/>
          <w:color w:val="auto"/>
        </w:rPr>
        <w:t>The Company offers industry-leading expertise, access, and support in immunoglobulin (“IG”) infusion therapy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treat 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 w:lineRule="exact"/>
        <w:rPr>
          <w:rFonts w:ascii="Arial" w:cs="Arial" w:eastAsia="Arial" w:hAnsi="Arial"/>
          <w:sz w:val="18"/>
          <w:szCs w:val="18"/>
          <w:b w:val="1"/>
          <w:bCs w:val="1"/>
          <w:i w:val="1"/>
          <w:iCs w:val="1"/>
          <w:color w:val="auto"/>
        </w:rPr>
      </w:pPr>
    </w:p>
    <w:p>
      <w:pPr>
        <w:ind w:left="660" w:right="160" w:hanging="328"/>
        <w:spacing w:after="0" w:line="265"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Bleeding Disorders Infusion. </w:t>
      </w:r>
      <w:r>
        <w:rPr>
          <w:rFonts w:ascii="Arial" w:cs="Arial" w:eastAsia="Arial" w:hAnsi="Arial"/>
          <w:sz w:val="17"/>
          <w:szCs w:val="17"/>
          <w:color w:val="auto"/>
        </w:rPr>
        <w:t>As a leading provider of home infusion therapy for hemophilia and von Willebrand disease,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streamlines the administrative burdens associated with infusion therapies for bleeding disorders. The Company works with medical specialists across the country to offer access to all approved factor products, a full range of therapies, and dedicated support services. Hemophilia is one of the most costly diseases to treat. The treatment goal is to raise the level of the deficient clotting factor and maintain it to stop the bleeding. Treatments include infusion of the clotting factor products and other biologic prescription drugs. The length of treatment depends on the severity of the bleeding episode, and the need for treatment continues throughout the life of the patient.</w:t>
      </w:r>
    </w:p>
    <w:p>
      <w:pPr>
        <w:ind w:left="660" w:right="20" w:hanging="328"/>
        <w:spacing w:after="0" w:line="25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Nutrition Support Infusion. </w:t>
      </w:r>
      <w:r>
        <w:rPr>
          <w:rFonts w:ascii="Arial" w:cs="Arial" w:eastAsia="Arial" w:hAnsi="Arial"/>
          <w:sz w:val="18"/>
          <w:szCs w:val="18"/>
          <w:color w:val="auto"/>
        </w:rPr>
        <w:t>The Company delivers comprehensive nutrition support across pediatric, adult, and geriatric patients.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 team provides home parenteral nutrition and enteral nutrition support for numerous acute and chronic conditions negatively affecting nutritional status, such as stroke, cancer, and gastrointestinal diseases.</w:t>
      </w:r>
    </w:p>
    <w:p>
      <w:pPr>
        <w:spacing w:after="0" w:line="1" w:lineRule="exact"/>
        <w:rPr>
          <w:rFonts w:ascii="Arial" w:cs="Arial" w:eastAsia="Arial" w:hAnsi="Arial"/>
          <w:sz w:val="18"/>
          <w:szCs w:val="18"/>
          <w:b w:val="1"/>
          <w:bCs w:val="1"/>
          <w:color w:val="auto"/>
        </w:rPr>
      </w:pPr>
    </w:p>
    <w:p>
      <w:pPr>
        <w:ind w:left="660" w:right="16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The Company offers therapies that women need to survive and thrive through high-risk pregnancies. Personalized programs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prematurity, nausea and vomiting hyperemesis, diabetes in pregnancy, and hypertension help meet the needs of each mother.</w:t>
      </w:r>
    </w:p>
    <w:p>
      <w:pPr>
        <w:spacing w:after="0" w:line="1" w:lineRule="exact"/>
        <w:rPr>
          <w:rFonts w:ascii="Arial" w:cs="Arial" w:eastAsia="Arial" w:hAnsi="Arial"/>
          <w:sz w:val="16"/>
          <w:szCs w:val="16"/>
          <w:color w:val="auto"/>
        </w:rPr>
      </w:pPr>
    </w:p>
    <w:p>
      <w:pPr>
        <w:ind w:left="660" w:right="1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Neurological Disorders. </w:t>
      </w:r>
      <w:r>
        <w:rPr>
          <w:rFonts w:ascii="Arial" w:cs="Arial" w:eastAsia="Arial" w:hAnsi="Arial"/>
          <w:sz w:val="18"/>
          <w:szCs w:val="18"/>
          <w:color w:val="auto"/>
        </w:rPr>
        <w:t>The Company provides an array of treatments to manage the progression of neurological disorders such as Amyotrophic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Lateral Sclerosis (“ALS” or “Lou Gehrig’s disease”) and Duchenne Muscular Dystrophy.</w:t>
      </w:r>
    </w:p>
    <w:p>
      <w:pPr>
        <w:ind w:left="660" w:right="380" w:hanging="328"/>
        <w:spacing w:after="0" w:line="26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 offers a range of other infusion therapies to treat a variety of conditions, including pain management, chemotherapy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respiratory medication.</w:t>
      </w:r>
    </w:p>
    <w:p>
      <w:pPr>
        <w:spacing w:after="0" w:line="14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also provides nursing services to support the above therapies, comprised of its nursing team of approximately 1,300 employees, and through its network of sub-contracted nursing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The Company’s sales and marketing efforts focus on three primary objectives: (1) building new relationships and expanding existing contracts with managed care organizations; (2) establishing, maintaining and strengthening relationships with local and regional patient referral sources; and (3) maintaining existing and developing new relationships with pharmaceutical manufacturers to gain distribution access as they release new products.</w:t>
      </w:r>
    </w:p>
    <w:p>
      <w:pPr>
        <w:spacing w:after="0" w:line="122"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cross-utility enables the Company to market its services to numerous sources of patient referrals, including physicians, hospital discharge planners, hospital personnel, Health Maintenance Organizations (“HMOs”) and Preferred Provider Organizations (“PPOs”).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competes in the large and highly fragmented home infusion market for contracts with managed care organizations and other third party payers to receive referrals from physicians, case managers and hospital discharge planners. Competition in the home infusion market is based on quality of care, clinical outcomes, pricing and cost of service, reputation, and reliability of service. Its competitors within the home infusion market include Coram CVS/specialty infusion services (a division of CVS Health), Accredo Health Group, Inc. (a unit of Cigna), Briova (a subsidiary of OptumRx, which is a unit of the United Healthcare Insurance Company) and various regional and local providers. The Company believes that its reputation for providing quality services, the strength of its national presence and its ability to effectively market its services at national, regional and local levels places it in a strong position against existing and potential competitors. The Company believes that the value created by the Merger has put the Company in a unique position to efficiently capture market share through its expanded footprint and synergies.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owns a variety of trademarks, licenses, and service marks, including but not limited to: “Option Care Health”, “Option Care”, “Critical Care Systems”, “Clinical Specialties”, “BioScrip”, “BioScrip Infusion Services”, “BioScrip Nursing Services”, “BioScrip Pharmacy Services”, “CarePoint Partners”, “HomeChoice Partners”, “InfuScience”, “InfusionCare”, “Infusion Partners”, “Infusion Solutions”, “New England Home Therapies”, “Option Health”, “Professional Home Care Services”, “Wilcox Home Infusion”, “Home Solutions”, as well as several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purchases pharmaceuticals and medical supplies through pharmaceutical manufacturers, distributors and group purchasing organizations. Through the coverage and clinical expertise of its 99 full service pharmacies, the Company provides pharmaceutical manufacturers with a broad distribution channel for its existing pharmaceutical products. Many of the pharmaceuticals that the Company purchases are available from multiple sources and are available in sufficient quantities to meet its needs and the needs of its patients. However, some drugs are only available through the manufacturer and may be subject to limits on distribution. In such cases, it is important the Company establishes and maintains good working relations with the manufacturer to secure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to ensure consistent supply and cost-effective procurement. These relationships provide the Company the opportunity to become a selected partner in the launch of their new products. The Company may receive fees, which it records as revenue, from certain biotech manufacturers for providing them with clinical outcomes data. The Company’s continued growth will be dependent on maintaining its existing relationships with manufacturers and establishing new relationships with additional manufacturers as the Company launches new products.</w:t>
      </w:r>
    </w:p>
    <w:p>
      <w:pPr>
        <w:spacing w:after="0" w:line="14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year ended December 31, 2020, approximately 70% of the Company’s pharmaceutical and medical supply purchases are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46"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&amp; Significant Payers</w:t>
      </w:r>
    </w:p>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generates most of its revenue from contracts with third party payers, including managed care organizations, insurance companies, self-insured employers, Medicare, and Medicaid programs. Where permissible, the Company bills patients for any amounts not reimbursed by third party payers. The majority of the Company’s infusion pharmacy revenue consists of reimbursement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where applicable.</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largest payer is United Health Group, which represented approximately 15% of its revenue for the year ended December 31, 2020. No other single payer represented more than 10% of its revenue. The Company also provides services that are directly reimbursable through government healthcare programs such as Medicare and state Medicaid programs. For the year ended December 31, 2020, approximately 15% of the Company’s revenue was reimbursable through direct governmental programs, such as Medicare and Medicaid.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0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home infusion industry is subject to extensive regulation by a number of federal, state and local governmental entities. The industry is also subject to frequent regulatory change. Laws and regulations in the healthcare industry are complex and, in many instances,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w:t>
      </w:r>
    </w:p>
    <w:p>
      <w:pPr>
        <w:spacing w:after="0" w:line="18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Licensing and Registration</w:t>
      </w:r>
    </w:p>
    <w:p>
      <w:pPr>
        <w:spacing w:after="0" w:line="18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State laws require that each of its pharmacy locations be licensed as an in-state pharmacy to dispense pharmaceuticals in that state. Certain states also require that its pharmacy locations be licensed as an out-of-state pharmacy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follows procedures intended to comply with all applicable federal and state requirements regarding controlled substances.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Many states in which the Company operates also require home infusion companies to be licensed as home health agencies. The Company believes it is in compliance with these laws, as applicable.</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believes that it materially complies with all applicable state licensing laws, including any applicable change of control requirements that may have triggered in connection with the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Affecting Drug Prices</w:t>
      </w:r>
    </w:p>
    <w:p>
      <w:pPr>
        <w:spacing w:after="0" w:line="19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Pricing benchmarks in the pharmacy industry are periodically published by third parties such as First DataBank, Medi-Span, RJ Health, and the Centers for Medicare &amp; Medicaid Services (“CMS”), and the benchmark reimbursement varies by payer contract. The most commonly used benchmarks are AWP and ASP. AWP is based on self-reported prices charged by wholesalers and manufacturers.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 Requirements</w:t>
      </w:r>
    </w:p>
    <w:p>
      <w:pPr>
        <w:spacing w:after="0" w:line="185"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6"/>
          <w:szCs w:val="16"/>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federal privacy regulations (the “Privacy Regulations”) are designed to protect health-related information that could be used to identify an individual’s protected health information.</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requirements imposed by HIPAA are extensive, and the Company has taken and intends to continue to take steps to ensure its policies and procedures are in compliance with the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8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i w:val="1"/>
          <w:iCs w:val="1"/>
          <w:color w:val="auto"/>
        </w:rPr>
        <w:t xml:space="preserve">Food, Drug and Cosmetic Act. </w:t>
      </w:r>
      <w:r>
        <w:rPr>
          <w:rFonts w:ascii="Arial" w:cs="Arial" w:eastAsia="Arial" w:hAnsi="Arial"/>
          <w:sz w:val="17"/>
          <w:szCs w:val="17"/>
          <w:color w:val="auto"/>
        </w:rPr>
        <w:t>Certain provisions of the Food, Drug and Cosmetic Act (“FDCA”) govern the handling and distribution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This law exempts many pharmaceuticals and medical devices from federal labeling and packaging requirements as long as they are not adulterated or misbranded and are dispensed in accordance with and pursuant to a valid prescription. The Company believes it complies with all applicable requirements. The FDCA also governs interstate commerce for pharmaceutical products. The Company cannot predict the impact of any proposed FDCA regulations on its ability to ship drugs to different states from its pharmacies.</w:t>
      </w:r>
    </w:p>
    <w:p>
      <w:pPr>
        <w:spacing w:after="0" w:line="14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Drug Quality and Security Act (“DQSA”) amended the FDCA to grant the Food and Drug Administration (“FDA”) authority to regulate the manufacturing of compounded pharmaceutical drugs. The Company complies with the PCAB and Accreditation Standards for Sterile and Non-Sterile Pharmacy Compounding, and aggressively pursues accreditation from quality associations. The Company believes it complies in all material respects with all applicable requirements of a non-outsourcing-facility pharmacy.</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FDA also regulates certain medical devices, such as infusion pumps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4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 The federal Anti-Kickback Statute prohibits individuals and entities from knowingly and willfully paying, offering, receiving,</w:t>
      </w:r>
      <w:r>
        <w:rPr>
          <w:rFonts w:ascii="Arial" w:cs="Arial" w:eastAsia="Arial" w:hAnsi="Arial"/>
          <w:sz w:val="17"/>
          <w:szCs w:val="17"/>
          <w:i w:val="1"/>
          <w:iCs w:val="1"/>
          <w:color w:val="auto"/>
        </w:rPr>
        <w:t xml:space="preserve"> </w:t>
      </w:r>
      <w:r>
        <w:rPr>
          <w:rFonts w:ascii="Arial" w:cs="Arial" w:eastAsia="Arial" w:hAnsi="Arial"/>
          <w:sz w:val="17"/>
          <w:szCs w:val="17"/>
          <w:color w:val="auto"/>
        </w:rPr>
        <w:t>or 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of the U.S. Department of Health and Human Services (“HHS”) has published clarifying regulations that identify a limited number of safe harbors from criminal enforcement or civil administrative actions. The Company attempts to structure its business relationships to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safe harbor as possible.</w:t>
      </w:r>
    </w:p>
    <w:p>
      <w:pPr>
        <w:spacing w:after="0" w:line="15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False Claims Act</w:t>
      </w:r>
      <w:r>
        <w:rPr>
          <w:rFonts w:ascii="Arial" w:cs="Arial" w:eastAsia="Arial" w:hAnsi="Arial"/>
          <w:sz w:val="17"/>
          <w:szCs w:val="17"/>
          <w:color w:val="auto"/>
        </w:rPr>
        <w:t>. The Company is subject to state and federal laws that govern the submission of claims for reimbursement. These laws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qui tam lawsuit on the government’s behalf. Under the False Claims Act, the government and private plaintiffs, if any, may recover monetary penalties in the amount of $11,665 to $23,331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The Company believes that it has procedures in place to ensure the accuracy of its claims.</w:t>
      </w:r>
    </w:p>
    <w:p>
      <w:pPr>
        <w:spacing w:after="0" w:line="14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i w:val="1"/>
          <w:iCs w:val="1"/>
          <w:color w:val="auto"/>
        </w:rPr>
        <w:t>Medicare Home Health CY 2020 Home Health Prospective Payment Systems Rate Update</w:t>
      </w:r>
      <w:r>
        <w:rPr>
          <w:rFonts w:ascii="Arial" w:cs="Arial" w:eastAsia="Arial" w:hAnsi="Arial"/>
          <w:sz w:val="18"/>
          <w:szCs w:val="18"/>
          <w:color w:val="auto"/>
        </w:rPr>
        <w:t>. On October 31, 2019, the CMS issued a final rule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updates to payment policies, payment rates, and quality provisions for services. The final rule set forth routine updates to the home infusion therapy services for calendar year 2021 and subsequent years, and solicits comments on options to enhance future efforts to improve policies related to coverage of eligible drugs for home infusion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Patient Referrals Law (Stark Law)</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 mirror the Stark Law while others may be more restrictive. The Company attempts to structure all of its business relationships with physicians to comply with the Stark Law and any applicable state self-referral laws.</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civil monetary penalty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civil monetary penalties,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December 31, 2020, the Company employed 5,146 persons on a full-time basis and 706 persons on a part-time basis. The majority of its part-time employees are clinicians due to the nature and timing of the services the Company provides.</w:t>
      </w:r>
    </w:p>
    <w:p>
      <w:pPr>
        <w:spacing w:after="0" w:line="14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business relies on our ability to attract and retain nursing staff, pharmacists and other professionals who possess the skills, experience and licenses necessary to meet the requirements of their job responsibilities. Our ability to attract and retain personnel depends on several factors, including our ability to provide them with engaging assignments and competitive salaries and benefits.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corporate headquarters is located at 3000 Lakeside Drive, Suite 300N, Bannockburn, IL 60015. The Company maintains a website at http://www.optioncarehealth.com. The information contained on its website is not incorporated by reference into this Annual Report and should not be considered part of this report. The Company’s Annual Reports on Form 10-K, Quarterly Reports on Form 10-Q, Current Reports on Form 8-K, and Proxy Statements are available through the website at https://investors.optioncarehealth.com/, free of charge, as soon as reasonably practicable after they are filed with or furnished to the SEC.</w:t>
      </w:r>
    </w:p>
    <w:p>
      <w:pPr>
        <w:spacing w:after="0" w:line="16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carefully consider the following Company-specific and general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Company-Specific Risk Factors</w:t>
      </w:r>
    </w:p>
    <w:p>
      <w:pPr>
        <w:spacing w:after="0" w:line="1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A reduction in the supply of and market for pharmaceuticals that are compatible with the services we provide may have a material adverse effect on our financial condition and results of operations.</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lose relationships with managed care organizations (“MCOs”) and other non-governmental third party payers, we could lose access to a significant number of patients and our revenue and profitability could decline.</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highly dependent on reimbursement from MCOs, government programs such as Medicare and Medicaid and commercial insurers (collectively, “Third Party Payers”). For the year ended December 31, 2020, 85% of our revenue came from managed care organizations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8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3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Some of our competitors have vertically integrated business models with commercial payers, or are under common control with, or owned by, pharmaceutical wholesalers and distributors, managed care organizations,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13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managed care companies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3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depends,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industry pricing benchmarks could adversely affect our financial performance.</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contracts generally use certain published benchmarks to establish pricing for the reimbursement of prescription medications we dispense. These benchmarks include AWP, wholesale acquisition cost, ASP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will have to be modified and could potentially change the economic structure of our agreements.</w:t>
      </w:r>
    </w:p>
    <w:p>
      <w:pPr>
        <w:spacing w:after="0" w:line="13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43"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w:t>
      </w:r>
    </w:p>
    <w:p>
      <w:pPr>
        <w:spacing w:after="0" w:line="13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Adverse developments with respect to this trend could have a material adverse effect on our financial condition and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disruption in pharmaceutical and medical supply could adversely impact our business.</w:t>
      </w:r>
    </w:p>
    <w:p>
      <w:pPr>
        <w:spacing w:after="0" w:line="19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For the year ended December 31, 2020, approximately 70% of our pharmaceutical and medical supply purchases are from three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the inability to obtain especially high margin drugs and compound components necessary for patient care, our consolidated financial statements could be negatively impacted. The COVID-19 pandemic has led to a constrained supply environment which could result in higher cost to procure, and potential unavailability of, critical personal protection equipment, pharmaceuticals and medical supplies. As of December 31, 2020 we have not experienced a significant impact in the availability of supplies from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A shortage of qualified registered nursing staff, pharmacists and other professionals could adversely affect our ability to attract, train and retrain qualified personnel and could increase operating costs.</w:t>
      </w:r>
    </w:p>
    <w:p>
      <w:pPr>
        <w:spacing w:after="0" w:line="13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business relies on our ability to attract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and retain personnel depends on several factors, including our ability to provide them with engaging assignments and competitive salaries and benefits. We may not be successful in any of these areas.</w:t>
      </w:r>
    </w:p>
    <w:p>
      <w:pPr>
        <w:spacing w:after="0" w:line="14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where labor shortages arise in markets in which we operate, we may face higher costs to attract personnel, and we may have to provide them with more attractive benefit packages than originally anticipated or are being paid in other markets where such shortages do not exist at the time. In either case, such circumstances could cause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37"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b w:val="1"/>
          <w:bCs w:val="1"/>
          <w:i w:val="1"/>
          <w:iCs w:val="1"/>
          <w:color w:val="auto"/>
        </w:rPr>
        <w:t>Introduction of new drugs or accelerated adoption of existing lower margin drugs could cause us to experience lower revenues and profitability when prescribers prescribe these drugs for their patients or they are mandated by Third Party Payers.</w:t>
      </w:r>
    </w:p>
    <w:p>
      <w:pPr>
        <w:spacing w:after="0" w:line="10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are added to a therapeutic class, thereby increasing price competition among competing manufacturer’s products in that therapeutic category. In such cases, manufacturers have the ability to increase drug acquisition costs or lower the selling price of replaced products. This could negatively impact our revenues and/or margins.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Failure to develop new services or adapt to changes and trends within the healthcare industry may adversely affect our business.</w:t>
      </w:r>
    </w:p>
    <w:p>
      <w:pPr>
        <w:spacing w:after="0" w:line="19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this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acquisitions resulted in significant goodwill reported on our financial statements. Goodwill results when the purchase price exceeds the fair value of the net identifiable tangible and intangible assets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When evaluating goodwill for potential impairment,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operate in complex, highly regulated environments and could be materially and adversely affected by changes to applicable legal requirements including the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6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the consumer protection and safety laws, including those of the Consumer Product Safety Commission.</w:t>
      </w:r>
    </w:p>
    <w:p>
      <w:pPr>
        <w:spacing w:after="0" w:line="1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The DEA, FDA and state regulatory authorities have broad enforcement powers, including the ability to seize or recall products and impose significant criminal, civil and administrative sanctions for violations of these laws and regulations.</w:t>
      </w:r>
    </w:p>
    <w:p>
      <w:pPr>
        <w:spacing w:after="0" w:line="14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have a material adverse effect on our patient base and revenue.</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are also governed by federal and state laws of general applicability, including laws regulating matters of working conditions, health and safety and equal employment opportunity and other labor and employment matters as well as employee benefit, competition, antitrust, taxation and escheatment matters. In addition, we could have significant exposure if we are found to have infringed another party’s intellectual property rights.</w:t>
      </w:r>
    </w:p>
    <w:p>
      <w:pPr>
        <w:spacing w:after="0" w:line="12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Changes in laws, regulations and policies and the related interpretations and enforcement practices may alter the landscape in which we do business and may significantly affect our cost of doing business. The impact of new laws, regulations and policies and the related interpretations and enforcement practices generally cannot be predicted, and changes in applicable laws, regulations and policies and the related interpretations and enforcement practices may require extensive system and operational changes, be difficult to implement, increase our operating costs and require significant capital expenditures. Untimely compliance or noncompliance with applicable laws and regulations could result in the imposition of civil and criminal penalties that could adversely affect the continued operation of our businesses,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Affordable Care Act and other healthcare reform efforts could have a material adverse effect on our business.</w:t>
      </w:r>
    </w:p>
    <w:p>
      <w:pPr>
        <w:spacing w:after="0" w:line="1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recent years, healthcare reform efforts at federal and state levels of government have resulted in sweeping changes to the delivery and funding of health care. The Affordable Care Act is the most prominent of these efforts. However, there is substantial uncertainty regarding its net effect and its future. The Affordable Care Act has been subject to legislative and regulatory changes and court challenges. Effective January 2019, Congress eliminated the financial penalty associated with the individual mandate to maintain health insurance coverage. Because the penalty associated with the individual mandate was eliminated, a federal court in Texas ruled in December 2018 that the entire Affordable Care Act was unconstitutional. However, the law remains in place pending appeal. It is impossible to predict the full impact of the Affordable Care Act and related regulations or the impact of its modification on our operations in light of the uncertainty regarding whether, when or how the law will be changed and what alternative reforms, such as single-payer proposals, may be enacted. Health reform efforts may adversely affect our customers, which may cause them to reduce or delay use of our products and services. As such, we cannot predict the impact of the Affordable Care Act on our business, operations or financial performance.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Federal actions and legislation may reduce reimbursement rates from governmental payers and adversely affect our results of operations.</w:t>
      </w:r>
    </w:p>
    <w:p>
      <w:pPr>
        <w:spacing w:after="0" w:line="20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recent years, Congress has passed legislation reducing payments to health 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More recently,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 care providers, which may result in reduced Medicare payments.</w:t>
      </w:r>
    </w:p>
    <w:p>
      <w:pPr>
        <w:spacing w:after="0" w:line="13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For the year ended December 31, 2020, 15% of our revenue is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3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pacing w:after="0" w:line="14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some cases, Third Party Payers rely on all or portions of Medicare payment systems to determine payment rates. Changes to government healthcare programs that reduce payments under these programs may negatively impact payments from Third Party Payers. Current or future healthcare reform and deficit reduction efforts, changes in other laws or regulations affecting government healthcare programs, changes in the administration of government healthcare programs and changes by Third Party Payers could have a material, adverse effect on our financial position and results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Delays in reimbursement may adversely affect our liquidity, cash flows and operating results.</w:t>
      </w:r>
    </w:p>
    <w:p>
      <w:pPr>
        <w:spacing w:after="0" w:line="19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 Party Payers and the inability to collect outstanding accounts receivable could have a material adverse effect on our liquidity, cash flows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pricing pressures and other risks involved with Third Party Payers.</w:t>
      </w:r>
    </w:p>
    <w:p>
      <w:pPr>
        <w:spacing w:after="0" w:line="18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Competition to provide healthcare services, efforts by traditional Third Party Payers to contain or reduce healthcare costs, and the increasing influence of managed care payers such as health maintenance organizations, has resulted in reduced rates of reimbursement for home infusion and specialty pharmacy services. Changes in reimbursement policies of governmental Third 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 Party Payers may continue, and these trends may adversely affect our business.</w:t>
      </w:r>
    </w:p>
    <w:p>
      <w:pPr>
        <w:spacing w:after="0" w:line="15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13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We face periodic reviews and billing audits by governmental and private payers, and these audits could have adverse findings that may negatively impact our business.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 party firms engaged by CMS conduct extensive reviews of claims data and medical and other records to identify potential improper payments under the Medicare program. Third 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consolidated financial condition, results of operations and cash flows. Moreover, an adverse claim, review or audit could result in:</w:t>
      </w:r>
    </w:p>
    <w:p>
      <w:pPr>
        <w:spacing w:after="0" w:line="15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required refunding or retroactive adjustment of amounts we have been paid by governmental payers or Third Party Payers;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 or federal agencies imposing fines, penalties and other sanctions on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suspension or exclusion from the Medicare program, state programs, or one or more third party payer networks;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business and reputation in various markets.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results could have a material adverse effect on our business and consolidated financial condition, results of operations and cash flows.</w:t>
      </w:r>
    </w:p>
    <w:p>
      <w:pPr>
        <w:spacing w:after="0" w:line="19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3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supplier standards. Any termination of one or more of our pharmacies from the Medicare program for failure to satisfy the Medicare supplier standards could adversely affect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cannot predict the impact of changing requirements on compounding pharmacies.</w:t>
      </w:r>
    </w:p>
    <w:p>
      <w:pPr>
        <w:spacing w:after="0" w:line="18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Compounding pharmacies are closely monitored by federal and state governmental agencies. We believe that our compounding is performed in safe environments and we have clinically appropriate policies and procedures in place. We only compound pursuant to a patient-specific prescription and do so in compliance with USP 797 standards. In 2013, Congress passed the DQSA, which creates a new category of compounding facilities called outsourcing facilities, which are regulated by the FDA. We do not believe that our current compounding practices qualify us as an outsourcing facility and therefore we continue to operate consistently with USP 797 standards and applicable state pharmacy laws. Should state regulators or the FDA disagree, or should our business practices change to qualify us as an outsourcing facility, there is a risk of regulatory action and/or increased resources required to comply with federal requirements imposed pursuant to the DQSA on outsourcing facilities that could significantly increase our costs or otherwise affect our results of operations. Furthermore, we cannot predict the overall impact of increased scrutiny on compounding pharmacies.</w:t>
      </w:r>
    </w:p>
    <w:p>
      <w:pPr>
        <w:spacing w:after="0" w:line="1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to offset future taxable income for U.S. federal tax purposes is subject to limitation and risk that could further limit our ability to utilize our net operating losses.</w:t>
      </w:r>
    </w:p>
    <w:p>
      <w:pPr>
        <w:spacing w:after="0" w:line="13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Under U.S. federal income tax law, a corporation’s ability to utilize its net operating losses (“NOLs”) to offset future taxable income may be significantly limited if it experiences an “ownership change” as defined in Section 382 of the Internal Revenue Code of 1986, as amended (the “Code”). In general, an ownership change will occur if there is a cumulative change in a corporation’s ownership by “5-percent shareholders” that exceeds 50 percentage points over a rolling three-year period.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At December 31, 2020, we had U.S. federal NOLs of approximately $577.9 million, of which $139.8 million are expected to expire unutilized due to limitations under Section 382 of the Code. We also had $600.1 million of cumulative gross state NOL carryforwards available to offset future taxable income in various states.</w:t>
      </w:r>
    </w:p>
    <w:p>
      <w:pPr>
        <w:spacing w:after="0" w:line="13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Any limitation to our annual use of NOLs could require us to pay a greater amount of U.S. federal (and in some cases, state) income taxes, which could reduce our after-tax income from operations for future taxable years and adversely impact our financial condition. At December 31, 2020, we maintained a full valuation allowance against all of our net U.S. federal and state deferred tax assets with the exception of $0.4 million of estimated state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9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December 31, 2020, we had $1,161.5 million of outstanding borrowings, including (i) $915.8 million under our First Lien Term Loan and (ii) $245.8 million under our Second Lien Notes. All obligations under the credit agreements and indenture governing these facilities and notes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54"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Our indebtedness, the cash flow needed to satisfy our debt and the covenants contained in our credit agreement and indenture have important consequences, including but not limited to:</w:t>
      </w:r>
    </w:p>
    <w:p>
      <w:pPr>
        <w:spacing w:after="0" w:line="130" w:lineRule="exact"/>
        <w:rPr>
          <w:sz w:val="20"/>
          <w:szCs w:val="20"/>
          <w:color w:val="auto"/>
        </w:rPr>
      </w:pPr>
    </w:p>
    <w:p>
      <w:pPr>
        <w:ind w:left="580" w:hanging="248"/>
        <w:spacing w:after="0" w:line="258"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incur additional indebtedness;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capitalize on significant business opportunities;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3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term loan facility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38" w:lineRule="exact"/>
        <w:rPr>
          <w:sz w:val="20"/>
          <w:szCs w:val="20"/>
          <w:color w:val="auto"/>
        </w:rPr>
      </w:pPr>
    </w:p>
    <w:p>
      <w:pPr>
        <w:ind w:right="600" w:firstLine="324"/>
        <w:spacing w:after="0" w:line="311" w:lineRule="auto"/>
        <w:rPr>
          <w:sz w:val="20"/>
          <w:szCs w:val="20"/>
          <w:color w:val="auto"/>
        </w:rPr>
      </w:pPr>
      <w:r>
        <w:rPr>
          <w:rFonts w:ascii="Arial" w:cs="Arial" w:eastAsia="Arial" w:hAnsi="Arial"/>
          <w:sz w:val="16"/>
          <w:szCs w:val="16"/>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0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b w:val="1"/>
          <w:bCs w:val="1"/>
          <w:i w:val="1"/>
          <w:iCs w:val="1"/>
          <w:color w:val="auto"/>
        </w:rPr>
        <w:t>Despite our substantial indebtedness, we may still need to incur significantly more debt. This could exacerbate the risks associated with our substantial leverage.</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need to incur substantial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6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The financing documents governing our First Lien Term Loan, our ABL Facility and our Second Lien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Risks Relating to Our Common Stock</w:t>
      </w:r>
    </w:p>
    <w:p>
      <w:pPr>
        <w:spacing w:after="0" w:line="180" w:lineRule="exact"/>
        <w:rPr>
          <w:sz w:val="20"/>
          <w:szCs w:val="20"/>
          <w:color w:val="auto"/>
        </w:rPr>
      </w:pPr>
    </w:p>
    <w:p>
      <w:pPr>
        <w:ind w:right="560" w:firstLine="324"/>
        <w:spacing w:after="0" w:line="324" w:lineRule="auto"/>
        <w:rPr>
          <w:sz w:val="20"/>
          <w:szCs w:val="20"/>
          <w:color w:val="auto"/>
        </w:rPr>
      </w:pPr>
      <w:r>
        <w:rPr>
          <w:rFonts w:ascii="Arial" w:cs="Arial" w:eastAsia="Arial" w:hAnsi="Arial"/>
          <w:sz w:val="16"/>
          <w:szCs w:val="16"/>
          <w:b w:val="1"/>
          <w:bCs w:val="1"/>
          <w:i w:val="1"/>
          <w:iCs w:val="1"/>
          <w:color w:val="auto"/>
        </w:rPr>
        <w:t>We are a “controlled company” within the meaning of the rules of Nasdaq and, as a result, qualify for and rely on, exemptions from certain corporate governance standards, which limit the presence of independent directors on our board of directors or board committees.</w:t>
      </w:r>
    </w:p>
    <w:p>
      <w:pPr>
        <w:spacing w:after="0" w:line="9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As of December 31, 2020, approximately 64% of the outstanding shares of our common stock is held by HC Group Holdings I, LLC. As a result, we are a “controlled company” for purposes of the Nasdaq listing rules and are exempt from certain governance requirements otherwise required by Nasdaq, including requirements that:</w:t>
      </w:r>
    </w:p>
    <w:p>
      <w:pPr>
        <w:spacing w:after="0" w:line="14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w:t>
      </w:r>
    </w:p>
    <w:p>
      <w:pPr>
        <w:spacing w:after="0" w:line="23" w:lineRule="exact"/>
        <w:rPr>
          <w:rFonts w:ascii="Arial" w:cs="Arial" w:eastAsia="Arial" w:hAnsi="Arial"/>
          <w:sz w:val="18"/>
          <w:szCs w:val="18"/>
          <w:color w:val="auto"/>
        </w:rPr>
      </w:pPr>
    </w:p>
    <w:p>
      <w:pPr>
        <w:ind w:left="1300" w:right="420" w:hanging="320"/>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is composed entirely of independent directors with a written charter addressing the committee's purpose and responsibilities;</w:t>
      </w:r>
    </w:p>
    <w:p>
      <w:pPr>
        <w:ind w:left="1300" w:right="160" w:hanging="320"/>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conduct annual performance evaluation of the nominating and corporate governance and compensation committees.</w:t>
      </w:r>
    </w:p>
    <w:p>
      <w:pPr>
        <w:spacing w:after="0" w:line="170"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Accordingly, you will not have the same protections afforded to stockholders of companies that are subject to all of the corporate governance requirements of the Nasdaq.</w:t>
      </w:r>
    </w:p>
    <w:p>
      <w:pPr>
        <w:spacing w:after="0" w:line="14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shares of our common stock issued in the Merger to HC Group Holdings I, LLC as Merger consideration, or approximately 64% of the outstanding shares of our common stock as of December 31, 2020, are generally eligible for resale. The market price of our common stock could decline as a result of sales of a large number of shares of our common stock in the market or even the perception that these sales could occur. Subsequent to December 31, 2020, HC Group Holdings I, LLC completed a secondary offering of 17,250,000 shares of common stock. Following the offering, HC Group Holdings I, LLC holds approximately 54% of the Company’s common stock.</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As of December 31, 2020, Madison Dearborn Partners is our largest stockholder, controlling approximately 64% of our common stock, and has the ability to exercise significant influence over decisions requiring our stockholders’ approval.</w:t>
      </w:r>
    </w:p>
    <w:p>
      <w:pPr>
        <w:spacing w:after="0" w:line="14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of December 31, 2020, Madison Dearborn Partners controls approximately 64% of our common stock through its control of HC Group Holding I, LLC, with an economic interest in approximately 31% of our common stock. As a result, Madison Dearborn Partners has the ability to exercise significant influence over decisions requiring approval of our stockholders including the election of directors, amendments to our certificate of incorporation and approval of significant corporate transactions, such as a Merger or other sale of us or our assets.</w:t>
      </w:r>
    </w:p>
    <w:p>
      <w:pPr>
        <w:spacing w:after="0" w:line="13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This concentration of ownership may have the effect of delaying, preventing or deterring a change in control of us and may negatively affect the market price of our common stock. Also, Madison Dearborn Partners is in the business of making investments in companies and may from time to time acquire and hold interests in businesses that compete with us. Madison Dearborn Partners or its affiliates may also pursue acquisition opportunities that are complementary to our business and, as a result, those acquisition opportunities may not be available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3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addition to HC Group Holding I, LLC’s beneficial ownership of approximately 64% of our common stock, our third amended and restated certificate of incorporation contains provisions that could make it more difficult for a third party to acquire us, even if doing so might be beneficial to our stockholders. Among other things:</w:t>
      </w:r>
    </w:p>
    <w:p>
      <w:pPr>
        <w:spacing w:after="0" w:line="157" w:lineRule="exact"/>
        <w:rPr>
          <w:sz w:val="20"/>
          <w:szCs w:val="20"/>
          <w:color w:val="auto"/>
        </w:rPr>
      </w:pPr>
    </w:p>
    <w:p>
      <w:pPr>
        <w:jc w:val="both"/>
        <w:ind w:left="1300" w:right="80" w:hanging="320"/>
        <w:spacing w:after="0" w:line="255"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provisions 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2" w:lineRule="exact"/>
        <w:rPr>
          <w:rFonts w:ascii="Arial" w:cs="Arial" w:eastAsia="Arial" w:hAnsi="Arial"/>
          <w:sz w:val="18"/>
          <w:szCs w:val="18"/>
          <w:color w:val="auto"/>
        </w:rPr>
      </w:pPr>
    </w:p>
    <w:p>
      <w:pPr>
        <w:ind w:left="1300" w:right="160" w:hanging="320"/>
        <w:spacing w:after="0" w:line="281"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provisions provide that, at any time when HC Group Holdings I, LLC beneficially owns, in the aggregate, less than 50% in voting power of our stock entitled to vote generally in the election of directors, directors may be removed with or without cause only by the affirmative vote of holders of at least 66 2⁄3% in voting power of all the then-outstanding vote thereon, voting together as a single class;</w:t>
      </w:r>
    </w:p>
    <w:p>
      <w:pPr>
        <w:spacing w:after="0" w:line="1" w:lineRule="exact"/>
        <w:rPr>
          <w:rFonts w:ascii="Arial" w:cs="Arial" w:eastAsia="Arial" w:hAnsi="Arial"/>
          <w:sz w:val="16"/>
          <w:szCs w:val="16"/>
          <w:color w:val="auto"/>
        </w:rPr>
      </w:pPr>
    </w:p>
    <w:p>
      <w:pPr>
        <w:ind w:left="1300" w:right="160" w:hanging="320"/>
        <w:spacing w:after="0" w:line="281"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provisions prohibit stockholder action by written consent from and after the date on which HC Group Holding I, LLC beneficially owns, in the aggregate, less than 50% in voting power of our stock entitled to vote generally in the election of directors; and</w:t>
      </w:r>
    </w:p>
    <w:p>
      <w:pPr>
        <w:spacing w:after="0" w:line="1" w:lineRule="exact"/>
        <w:rPr>
          <w:rFonts w:ascii="Arial" w:cs="Arial" w:eastAsia="Arial" w:hAnsi="Arial"/>
          <w:sz w:val="16"/>
          <w:szCs w:val="16"/>
          <w:color w:val="auto"/>
        </w:rPr>
      </w:pPr>
    </w:p>
    <w:p>
      <w:pPr>
        <w:ind w:left="1300" w:right="20" w:hanging="320"/>
        <w:spacing w:after="0" w:line="288"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provisions provide that for as long as HC Group Holdings I, LLC beneficially owns, in the aggregate, 50% or more in voting power of our stock entitled to vote generally in the election of directors, any amendment, alteration, rescission or repeal of our bylaws or certificate of incorporation by our stockholders will require the affirmative vote of at least a majority in voting power of the outstanding shares of our stock and at any time when HC Group Holdings I, LLC beneficially owns, in the aggregate, less than 50% in voting power of all outstanding shares of our stock entitled to vote generally in the election of directors, any amendment, alteration, rescission or repeal of our bylaws or certificate of incorporation by our stockholders will require the affirmative vote of the holders of at least 66 2⁄3% in voting power of all the then-outstanding shares of our stock entitled to vote thereon, voting together as a single class.</w:t>
      </w:r>
    </w:p>
    <w:p>
      <w:pPr>
        <w:spacing w:after="0" w:line="19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to realize value in a corporate transaction.</w:t>
      </w:r>
    </w:p>
    <w:p>
      <w:pPr>
        <w:spacing w:after="0" w:line="14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Moreover, Section 203 of the General Corporation Law of the State of Delaware (“DGCL”) may discourage, delay, or prevent a change of control of our company. Section 203 imposes certain restrictions on mergers, business combinations, and other transactions between us and holders of 15% or more of our common stock.</w:t>
      </w:r>
    </w:p>
    <w:p>
      <w:pPr>
        <w:spacing w:after="0" w:line="14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our third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employees and stockholders to us or our stockholders, (3) any action asserting a claim against us arising pursuant to any provision of the DGCL or as to which the DGCL confers jurisdiction on the Court of Chancery of the State of Delaware, our third amended and restated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third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The recent COVID-19 pandemic and other potential pandemic events could adversely impact our business operations, results of operations, cash flows and financial position.</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a novel strain of coronavirus (COVID-19) was reported in Wuhan, China. The World Health Organization has declared COVID-19 a pandemic and public health emergency of international concern. In March 2020, the President of the United States declared a State of National Emergency due to the COVID-19 outbreak. Other countries affected by the outbreak took similar measures. Consequently, the COVID-19 pandemic has had a material impact on the U.S. and global economies.</w:t>
      </w:r>
    </w:p>
    <w:p>
      <w:pPr>
        <w:spacing w:after="0" w:line="1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including how it will impact our patients, teammates, suppliers, vendors, referral sources, and third party payers. The COVID-19 pandemic has created significant volatility, uncertainty and economic disruption, which may adversely affect our business operations and may materially and adversely affect our results of operations, cash flows and financial position.</w:t>
      </w:r>
    </w:p>
    <w:p>
      <w:pPr>
        <w:spacing w:after="0" w:line="16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While we cannot predict the impact that COVID-19 will have on our patients, suppliers, vendors, and third party payers and each of their financial conditions, we believe the following factors could lead to a material adverse impact on the Company’s business:</w:t>
      </w:r>
    </w:p>
    <w:p>
      <w:pPr>
        <w:spacing w:after="0" w:line="1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acute therapy patient referrals from hospitals based on changes in hospital-based procedures and treatment patterns;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chronic therapy patient referrals based on disruptions in the diagnosis of chronic conditions requiring infusion therapy;</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Inefficiencies in clinical labor expenses and higher labor costs from staffing disruptions and availability, potential overtime due to inefficient clinical staffing and utilization of contract labor;</w:t>
      </w:r>
    </w:p>
    <w:p>
      <w:pPr>
        <w:ind w:left="660" w:right="3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to procure, and potential unavailability of, critical personal protection equipment, pharmaceuticals and medical supplies given a constrained supply environment; and</w:t>
      </w:r>
    </w:p>
    <w:p>
      <w:pPr>
        <w:ind w:left="660" w:right="1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operational risks from an extended period of remote work arrangements, which could strain our business continuity plans, including but not limited to cybersecurity risks, and could impair our ability to manage our business.</w:t>
      </w:r>
    </w:p>
    <w:p>
      <w:pPr>
        <w:spacing w:after="0" w:line="14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situation is changing rapidly and additional consequences may arise that we are not aware of currently. The extent to which the COVID-19 pandemic impacts us will depend on numerous evolving factors and future developments that we are not able to predict, including: the severity and duration of the outbreak; governmental, business and other actions; the promotion of social distancing and the adoption of shelter-in-place orders affecting our referral sources; the impacts on our supply chain; the impact of the pandemic on economic activity; the health of and the effect on our workforce; any impairment in value of our tangible or intangible assets which could be recorded as a result of a weaker economic conditions; and the potential effects on our internal controls including those over financial reporting as a result of changes in working environments such as shelter-in-place and similar orders that are applicable to our teammates. In addition, if the pandemic continues to create disruptions or turmoil in the credit or financial markets, or impacts our credit ratings or stock price, it could adversely affect our ability to access capital on favorable terms and continue to meet our liquidity needs, all of which are highly uncertain and cannot be predicted.</w:t>
      </w:r>
    </w:p>
    <w:p>
      <w:pPr>
        <w:spacing w:after="0" w:line="140"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In addition, we cannot predict the impact that COVID-19 will have on our patients, suppliers, vendors, and third party payers, and each of their financial conditions; however, any material effect on these parties could adversely impact us. The impact of COVID-19 may also exacerbate other risks, any of which could have a material effect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Pending and future litigation could subject us to significant monetary damages and/or require us to change our business practices.</w:t>
      </w:r>
    </w:p>
    <w:p>
      <w:pPr>
        <w:spacing w:after="0" w:line="19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employ pharmacists, dieticians, nurses and other health care professionals. We are subject to liability for negligent acts, omissions, or injuries occurring at one of these clinics or caused by one of our employees. We are subject to risks relating to asserted claims, litigation and other proceedings in connection with our operations. We are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6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Item 3 for a description of material proceedings pending against us. We believe that these suits are without merit and, to the extent not already concluded, intend to contest them vigorously. However, an adverse outcome in one or more of these suits may have a material adverse effect on our consolidated results of operations, consolidated financial position, and/or consolidated cash flow from operations, or may require us to make material changes to our business practices.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liability claims for damages and other expenses that are not covered by insurance.</w:t>
      </w:r>
    </w:p>
    <w:p>
      <w:pPr>
        <w:spacing w:after="0" w:line="18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As a result of operating in the home infusion industry, our business entails an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or incorrect amount of medication, leading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68"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Our insurance coverage also includes fire, property damage and general liability with varying limits. We cannot assure that the insurance we maintain will satisfy claims made against us or that insurance coverage will continue to be available to us at commercially reasonable rates, in adequate amounts or on satisfactory terms. Any claims made against us, regardless of their merit or eventual outcome, could damage our reputation and business.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Pressures relating to downturns in the economy could adversely affect our business and consolidated financial statements.</w:t>
      </w:r>
    </w:p>
    <w:p>
      <w:pPr>
        <w:spacing w:after="0" w:line="1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 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strategic investments and strategic relationships involve certain risks.</w:t>
      </w:r>
    </w:p>
    <w:p>
      <w:pPr>
        <w:spacing w:after="0" w:line="18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may pursue acquisitions,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which could reduce future reported earnings, and potential loss of clients or key employees of acquired companies. We may not be able to successfully fully integrate the operations, personnel, services or products that we have acquired or may acquire in the future. Strategic investments may also entail some of the risks described above. If these investments are unsuccessful, we may need to incur charges against earnings. We may also pursue a number of strategic relationships. These relationships and others we may enter into in the future may be important to our business and growth prospects. We may not be able to maintain these relationships or develop new strategic alliances.</w:t>
      </w:r>
    </w:p>
    <w:p>
      <w:pPr>
        <w:spacing w:after="0" w:line="1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Cybersecurity risks could compromise our information and expose us to liability, which may harm our ability to operate effectively and may cause our business and reputation to suffer.</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Cybersecurity refers to the combination of technologies, processes and procedures established to protect information technology systems and data from unauthorized access, attack, or damage. We rely on our information systems to provide security for processing, transmission and storage of confidential information about our patients, customers and personnel, such as names, addresses and other individually identifiable information protected by HIPAA and other privacy laws. Cyber incidents can result from deliberate attacks or unintentional events. Cyber-attacks are increasingly more common, including in the health care industry.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our incurring significant expense due to increased investment in technology and the development of new operational processes.</w:t>
      </w:r>
    </w:p>
    <w:p>
      <w:pPr>
        <w:spacing w:after="0" w:line="12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have not experienced any known attacks on our information technology systems that compromised any confidential information. We maintain our information technology systems with safeguard protection against cyber-attacks including passive intrusion protection, firewalls and virus detection software. However, these safeguards do not ensure that a significant cyber-attack could not occur. Although we have taken steps to protect the security of our information systems and the data maintained in those systems, it is possible that our safety and security measures will not prevent the systems’ improper functioning or damage or the improper access or disclosure of personally identifiable information such as in the event of cyber-attacks.</w:t>
      </w:r>
    </w:p>
    <w:p>
      <w:pPr>
        <w:spacing w:after="0" w:line="13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similar federal or state laws protecting confidential personal information. In addition, a security breach of our information systems could damage our reputation, subject us to liability claims or regulatory penalties for compromised personal information and could have a material adverse effect on our business, financial condition, and results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dependent on the services provided by third party information technology vendors.</w:t>
      </w:r>
    </w:p>
    <w:p>
      <w:pPr>
        <w:spacing w:after="0" w:line="18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65"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Acts of God such as major weather disturbances could disrupt our business.</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operate in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the home. Similarly, such events could impact key suppliers or vendors, disrupting the services or materials they provide us.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the home.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transition from the London Interbank Offered Rate (“LIBOR”) could negatively affect our interest rates and results of operations.</w:t>
      </w:r>
    </w:p>
    <w:p>
      <w:pPr>
        <w:spacing w:after="0" w:line="19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2017, the U.K. Financial Conduct Authority announced that it intends to phase out LIBOR by the end of 2021. In addition, other regulators have suggested reforming or replacing other benchmark rates. The discontinuation, reform, or replacement of LIBOR or any other benchmark rates may result in fluctuating interest rates that may have a negative impact on our interest expense and our profitability.</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8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currently lease all of our properties from third parties under various lease terms expiring over periods extending through 2035, in addition to a number of non-material, month-to-month leases. Our corporate headquarters are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2020 our material property locations, consisting of our pharmacies, all in support of our infusion services business, were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Hoover, AL</w:t>
            </w:r>
          </w:p>
        </w:tc>
        <w:tc>
          <w:tcPr>
            <w:tcW w:w="2720" w:type="dxa"/>
            <w:vAlign w:val="bottom"/>
          </w:tcPr>
          <w:p>
            <w:pPr>
              <w:ind w:left="500"/>
              <w:spacing w:after="0"/>
              <w:rPr>
                <w:sz w:val="20"/>
                <w:szCs w:val="20"/>
                <w:color w:val="auto"/>
              </w:rPr>
            </w:pPr>
            <w:r>
              <w:rPr>
                <w:rFonts w:ascii="Arial" w:cs="Arial" w:eastAsia="Arial" w:hAnsi="Arial"/>
                <w:sz w:val="18"/>
                <w:szCs w:val="18"/>
                <w:color w:val="auto"/>
              </w:rPr>
              <w:t>Peachtree Corners, GA</w:t>
            </w:r>
          </w:p>
        </w:tc>
        <w:tc>
          <w:tcPr>
            <w:tcW w:w="2700" w:type="dxa"/>
            <w:vAlign w:val="bottom"/>
          </w:tcPr>
          <w:p>
            <w:pPr>
              <w:ind w:left="580"/>
              <w:spacing w:after="0"/>
              <w:rPr>
                <w:sz w:val="20"/>
                <w:szCs w:val="20"/>
                <w:color w:val="auto"/>
              </w:rPr>
            </w:pPr>
            <w:r>
              <w:rPr>
                <w:rFonts w:ascii="Arial" w:cs="Arial" w:eastAsia="Arial" w:hAnsi="Arial"/>
                <w:sz w:val="18"/>
                <w:szCs w:val="18"/>
                <w:color w:val="auto"/>
              </w:rPr>
              <w:t>Charlotte, NC</w:t>
            </w:r>
          </w:p>
        </w:tc>
        <w:tc>
          <w:tcPr>
            <w:tcW w:w="2180" w:type="dxa"/>
            <w:vAlign w:val="bottom"/>
          </w:tcPr>
          <w:p>
            <w:pPr>
              <w:ind w:left="700"/>
              <w:spacing w:after="0"/>
              <w:rPr>
                <w:sz w:val="20"/>
                <w:szCs w:val="20"/>
                <w:color w:val="auto"/>
              </w:rPr>
            </w:pPr>
            <w:r>
              <w:rPr>
                <w:rFonts w:ascii="Arial" w:cs="Arial" w:eastAsia="Arial" w:hAnsi="Arial"/>
                <w:sz w:val="18"/>
                <w:szCs w:val="18"/>
                <w:color w:val="auto"/>
              </w:rPr>
              <w:t>Cranston, RI</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Mobile, AL</w:t>
            </w:r>
          </w:p>
        </w:tc>
        <w:tc>
          <w:tcPr>
            <w:tcW w:w="2720" w:type="dxa"/>
            <w:vAlign w:val="bottom"/>
          </w:tcPr>
          <w:p>
            <w:pPr>
              <w:ind w:left="500"/>
              <w:spacing w:after="0"/>
              <w:rPr>
                <w:sz w:val="20"/>
                <w:szCs w:val="20"/>
                <w:color w:val="auto"/>
              </w:rPr>
            </w:pPr>
            <w:r>
              <w:rPr>
                <w:rFonts w:ascii="Arial" w:cs="Arial" w:eastAsia="Arial" w:hAnsi="Arial"/>
                <w:sz w:val="18"/>
                <w:szCs w:val="18"/>
                <w:color w:val="auto"/>
              </w:rPr>
              <w:t>Savannah, GA</w:t>
            </w:r>
          </w:p>
        </w:tc>
        <w:tc>
          <w:tcPr>
            <w:tcW w:w="2700" w:type="dxa"/>
            <w:vAlign w:val="bottom"/>
          </w:tcPr>
          <w:p>
            <w:pPr>
              <w:ind w:left="580"/>
              <w:spacing w:after="0"/>
              <w:rPr>
                <w:sz w:val="20"/>
                <w:szCs w:val="20"/>
                <w:color w:val="auto"/>
              </w:rPr>
            </w:pPr>
            <w:r>
              <w:rPr>
                <w:rFonts w:ascii="Arial" w:cs="Arial" w:eastAsia="Arial" w:hAnsi="Arial"/>
                <w:sz w:val="18"/>
                <w:szCs w:val="18"/>
                <w:color w:val="auto"/>
              </w:rPr>
              <w:t>Fayetteville, NC</w:t>
            </w:r>
          </w:p>
        </w:tc>
        <w:tc>
          <w:tcPr>
            <w:tcW w:w="2180" w:type="dxa"/>
            <w:vAlign w:val="bottom"/>
          </w:tcPr>
          <w:p>
            <w:pPr>
              <w:ind w:left="700"/>
              <w:spacing w:after="0"/>
              <w:rPr>
                <w:sz w:val="20"/>
                <w:szCs w:val="20"/>
                <w:color w:val="auto"/>
              </w:rPr>
            </w:pPr>
            <w:r>
              <w:rPr>
                <w:rFonts w:ascii="Arial" w:cs="Arial" w:eastAsia="Arial" w:hAnsi="Arial"/>
                <w:sz w:val="18"/>
                <w:szCs w:val="18"/>
                <w:color w:val="auto"/>
              </w:rPr>
              <w:t>Duncan, SC</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Jonesboro, AR</w:t>
            </w:r>
          </w:p>
        </w:tc>
        <w:tc>
          <w:tcPr>
            <w:tcW w:w="2720" w:type="dxa"/>
            <w:vAlign w:val="bottom"/>
          </w:tcPr>
          <w:p>
            <w:pPr>
              <w:ind w:left="500"/>
              <w:spacing w:after="0"/>
              <w:rPr>
                <w:sz w:val="20"/>
                <w:szCs w:val="20"/>
                <w:color w:val="auto"/>
              </w:rPr>
            </w:pPr>
            <w:r>
              <w:rPr>
                <w:rFonts w:ascii="Arial" w:cs="Arial" w:eastAsia="Arial" w:hAnsi="Arial"/>
                <w:sz w:val="18"/>
                <w:szCs w:val="18"/>
                <w:color w:val="auto"/>
              </w:rPr>
              <w:t>Honolulu, HI</w:t>
            </w:r>
          </w:p>
        </w:tc>
        <w:tc>
          <w:tcPr>
            <w:tcW w:w="2700" w:type="dxa"/>
            <w:vAlign w:val="bottom"/>
          </w:tcPr>
          <w:p>
            <w:pPr>
              <w:ind w:left="580"/>
              <w:spacing w:after="0"/>
              <w:rPr>
                <w:sz w:val="20"/>
                <w:szCs w:val="20"/>
                <w:color w:val="auto"/>
              </w:rPr>
            </w:pPr>
            <w:r>
              <w:rPr>
                <w:rFonts w:ascii="Arial" w:cs="Arial" w:eastAsia="Arial" w:hAnsi="Arial"/>
                <w:sz w:val="18"/>
                <w:szCs w:val="18"/>
                <w:color w:val="auto"/>
              </w:rPr>
              <w:t>Morrisville, NC</w:t>
            </w:r>
          </w:p>
        </w:tc>
        <w:tc>
          <w:tcPr>
            <w:tcW w:w="2180" w:type="dxa"/>
            <w:vAlign w:val="bottom"/>
          </w:tcPr>
          <w:p>
            <w:pPr>
              <w:ind w:left="700"/>
              <w:spacing w:after="0"/>
              <w:rPr>
                <w:sz w:val="20"/>
                <w:szCs w:val="20"/>
                <w:color w:val="auto"/>
              </w:rPr>
            </w:pPr>
            <w:r>
              <w:rPr>
                <w:rFonts w:ascii="Arial" w:cs="Arial" w:eastAsia="Arial" w:hAnsi="Arial"/>
                <w:sz w:val="18"/>
                <w:szCs w:val="18"/>
                <w:color w:val="auto"/>
                <w:w w:val="91"/>
              </w:rPr>
              <w:t>Mount Pleasant, SC</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Little Rock, AR</w:t>
            </w:r>
          </w:p>
        </w:tc>
        <w:tc>
          <w:tcPr>
            <w:tcW w:w="2720" w:type="dxa"/>
            <w:vAlign w:val="bottom"/>
          </w:tcPr>
          <w:p>
            <w:pPr>
              <w:ind w:left="500"/>
              <w:spacing w:after="0"/>
              <w:rPr>
                <w:sz w:val="20"/>
                <w:szCs w:val="20"/>
                <w:color w:val="auto"/>
              </w:rPr>
            </w:pPr>
            <w:r>
              <w:rPr>
                <w:rFonts w:ascii="Arial" w:cs="Arial" w:eastAsia="Arial" w:hAnsi="Arial"/>
                <w:sz w:val="18"/>
                <w:szCs w:val="18"/>
                <w:color w:val="auto"/>
              </w:rPr>
              <w:t>Urbandale, IA</w:t>
            </w:r>
          </w:p>
        </w:tc>
        <w:tc>
          <w:tcPr>
            <w:tcW w:w="2700" w:type="dxa"/>
            <w:vAlign w:val="bottom"/>
          </w:tcPr>
          <w:p>
            <w:pPr>
              <w:ind w:left="580"/>
              <w:spacing w:after="0"/>
              <w:rPr>
                <w:sz w:val="20"/>
                <w:szCs w:val="20"/>
                <w:color w:val="auto"/>
              </w:rPr>
            </w:pPr>
            <w:r>
              <w:rPr>
                <w:rFonts w:ascii="Arial" w:cs="Arial" w:eastAsia="Arial" w:hAnsi="Arial"/>
                <w:sz w:val="18"/>
                <w:szCs w:val="18"/>
                <w:color w:val="auto"/>
              </w:rPr>
              <w:t>Wilmington, NC</w:t>
            </w:r>
          </w:p>
        </w:tc>
        <w:tc>
          <w:tcPr>
            <w:tcW w:w="2180" w:type="dxa"/>
            <w:vAlign w:val="bottom"/>
          </w:tcPr>
          <w:p>
            <w:pPr>
              <w:ind w:left="700"/>
              <w:spacing w:after="0"/>
              <w:rPr>
                <w:sz w:val="20"/>
                <w:szCs w:val="20"/>
                <w:color w:val="auto"/>
              </w:rPr>
            </w:pPr>
            <w:r>
              <w:rPr>
                <w:rFonts w:ascii="Arial" w:cs="Arial" w:eastAsia="Arial" w:hAnsi="Arial"/>
                <w:sz w:val="18"/>
                <w:szCs w:val="18"/>
                <w:color w:val="auto"/>
              </w:rPr>
              <w:t>Knoxville, TN</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Tempe, AZ</w:t>
            </w:r>
          </w:p>
        </w:tc>
        <w:tc>
          <w:tcPr>
            <w:tcW w:w="2720" w:type="dxa"/>
            <w:vAlign w:val="bottom"/>
          </w:tcPr>
          <w:p>
            <w:pPr>
              <w:ind w:left="500"/>
              <w:spacing w:after="0"/>
              <w:rPr>
                <w:sz w:val="20"/>
                <w:szCs w:val="20"/>
                <w:color w:val="auto"/>
              </w:rPr>
            </w:pPr>
            <w:r>
              <w:rPr>
                <w:rFonts w:ascii="Arial" w:cs="Arial" w:eastAsia="Arial" w:hAnsi="Arial"/>
                <w:sz w:val="18"/>
                <w:szCs w:val="18"/>
                <w:color w:val="auto"/>
              </w:rPr>
              <w:t>Meridian, ID</w:t>
            </w:r>
          </w:p>
        </w:tc>
        <w:tc>
          <w:tcPr>
            <w:tcW w:w="2700" w:type="dxa"/>
            <w:vAlign w:val="bottom"/>
          </w:tcPr>
          <w:p>
            <w:pPr>
              <w:ind w:left="580"/>
              <w:spacing w:after="0"/>
              <w:rPr>
                <w:sz w:val="20"/>
                <w:szCs w:val="20"/>
                <w:color w:val="auto"/>
              </w:rPr>
            </w:pPr>
            <w:r>
              <w:rPr>
                <w:rFonts w:ascii="Arial" w:cs="Arial" w:eastAsia="Arial" w:hAnsi="Arial"/>
                <w:sz w:val="18"/>
                <w:szCs w:val="18"/>
                <w:color w:val="auto"/>
              </w:rPr>
              <w:t>Lincoln, NE</w:t>
            </w:r>
          </w:p>
        </w:tc>
        <w:tc>
          <w:tcPr>
            <w:tcW w:w="2180" w:type="dxa"/>
            <w:vAlign w:val="bottom"/>
          </w:tcPr>
          <w:p>
            <w:pPr>
              <w:ind w:left="700"/>
              <w:spacing w:after="0"/>
              <w:rPr>
                <w:sz w:val="20"/>
                <w:szCs w:val="20"/>
                <w:color w:val="auto"/>
              </w:rPr>
            </w:pPr>
            <w:r>
              <w:rPr>
                <w:rFonts w:ascii="Arial" w:cs="Arial" w:eastAsia="Arial" w:hAnsi="Arial"/>
                <w:sz w:val="18"/>
                <w:szCs w:val="18"/>
                <w:color w:val="auto"/>
              </w:rPr>
              <w:t>Memphis, TN</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Bakersfield, CA</w:t>
            </w:r>
          </w:p>
        </w:tc>
        <w:tc>
          <w:tcPr>
            <w:tcW w:w="2720" w:type="dxa"/>
            <w:vAlign w:val="bottom"/>
          </w:tcPr>
          <w:p>
            <w:pPr>
              <w:ind w:left="500"/>
              <w:spacing w:after="0"/>
              <w:rPr>
                <w:sz w:val="20"/>
                <w:szCs w:val="20"/>
                <w:color w:val="auto"/>
              </w:rPr>
            </w:pPr>
            <w:r>
              <w:rPr>
                <w:rFonts w:ascii="Arial" w:cs="Arial" w:eastAsia="Arial" w:hAnsi="Arial"/>
                <w:sz w:val="18"/>
                <w:szCs w:val="18"/>
                <w:color w:val="auto"/>
              </w:rPr>
              <w:t>Itasca, IL (2)</w:t>
            </w:r>
          </w:p>
        </w:tc>
        <w:tc>
          <w:tcPr>
            <w:tcW w:w="2700" w:type="dxa"/>
            <w:vAlign w:val="bottom"/>
          </w:tcPr>
          <w:p>
            <w:pPr>
              <w:ind w:left="580"/>
              <w:spacing w:after="0"/>
              <w:rPr>
                <w:sz w:val="20"/>
                <w:szCs w:val="20"/>
                <w:color w:val="auto"/>
              </w:rPr>
            </w:pPr>
            <w:r>
              <w:rPr>
                <w:rFonts w:ascii="Arial" w:cs="Arial" w:eastAsia="Arial" w:hAnsi="Arial"/>
                <w:sz w:val="18"/>
                <w:szCs w:val="18"/>
                <w:color w:val="auto"/>
              </w:rPr>
              <w:t>Omaha, NE</w:t>
            </w:r>
          </w:p>
        </w:tc>
        <w:tc>
          <w:tcPr>
            <w:tcW w:w="2180" w:type="dxa"/>
            <w:vAlign w:val="bottom"/>
          </w:tcPr>
          <w:p>
            <w:pPr>
              <w:ind w:left="700"/>
              <w:spacing w:after="0"/>
              <w:rPr>
                <w:sz w:val="20"/>
                <w:szCs w:val="20"/>
                <w:color w:val="auto"/>
              </w:rPr>
            </w:pPr>
            <w:r>
              <w:rPr>
                <w:rFonts w:ascii="Arial" w:cs="Arial" w:eastAsia="Arial" w:hAnsi="Arial"/>
                <w:sz w:val="18"/>
                <w:szCs w:val="18"/>
                <w:color w:val="auto"/>
              </w:rPr>
              <w:t>Nashville, TN</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Chico, CA</w:t>
            </w:r>
          </w:p>
        </w:tc>
        <w:tc>
          <w:tcPr>
            <w:tcW w:w="2720" w:type="dxa"/>
            <w:vAlign w:val="bottom"/>
          </w:tcPr>
          <w:p>
            <w:pPr>
              <w:ind w:left="500"/>
              <w:spacing w:after="0"/>
              <w:rPr>
                <w:sz w:val="20"/>
                <w:szCs w:val="20"/>
                <w:color w:val="auto"/>
              </w:rPr>
            </w:pPr>
            <w:r>
              <w:rPr>
                <w:rFonts w:ascii="Arial" w:cs="Arial" w:eastAsia="Arial" w:hAnsi="Arial"/>
                <w:sz w:val="18"/>
                <w:szCs w:val="18"/>
                <w:color w:val="auto"/>
              </w:rPr>
              <w:t>Carmel, IN</w:t>
            </w:r>
          </w:p>
        </w:tc>
        <w:tc>
          <w:tcPr>
            <w:tcW w:w="2700" w:type="dxa"/>
            <w:vAlign w:val="bottom"/>
          </w:tcPr>
          <w:p>
            <w:pPr>
              <w:ind w:left="580"/>
              <w:spacing w:after="0"/>
              <w:rPr>
                <w:sz w:val="20"/>
                <w:szCs w:val="20"/>
                <w:color w:val="auto"/>
              </w:rPr>
            </w:pPr>
            <w:r>
              <w:rPr>
                <w:rFonts w:ascii="Arial" w:cs="Arial" w:eastAsia="Arial" w:hAnsi="Arial"/>
                <w:sz w:val="18"/>
                <w:szCs w:val="18"/>
                <w:color w:val="auto"/>
              </w:rPr>
              <w:t>Bedford, NH</w:t>
            </w:r>
          </w:p>
        </w:tc>
        <w:tc>
          <w:tcPr>
            <w:tcW w:w="2180" w:type="dxa"/>
            <w:vAlign w:val="bottom"/>
          </w:tcPr>
          <w:p>
            <w:pPr>
              <w:ind w:left="700"/>
              <w:spacing w:after="0"/>
              <w:rPr>
                <w:sz w:val="20"/>
                <w:szCs w:val="20"/>
                <w:color w:val="auto"/>
              </w:rPr>
            </w:pPr>
            <w:r>
              <w:rPr>
                <w:rFonts w:ascii="Arial" w:cs="Arial" w:eastAsia="Arial" w:hAnsi="Arial"/>
                <w:sz w:val="18"/>
                <w:szCs w:val="18"/>
                <w:color w:val="auto"/>
              </w:rPr>
              <w:t>Austin, TX</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Hayward, CA</w:t>
            </w:r>
          </w:p>
        </w:tc>
        <w:tc>
          <w:tcPr>
            <w:tcW w:w="2720" w:type="dxa"/>
            <w:vAlign w:val="bottom"/>
          </w:tcPr>
          <w:p>
            <w:pPr>
              <w:ind w:left="500"/>
              <w:spacing w:after="0"/>
              <w:rPr>
                <w:sz w:val="20"/>
                <w:szCs w:val="20"/>
                <w:color w:val="auto"/>
              </w:rPr>
            </w:pPr>
            <w:r>
              <w:rPr>
                <w:rFonts w:ascii="Arial" w:cs="Arial" w:eastAsia="Arial" w:hAnsi="Arial"/>
                <w:sz w:val="18"/>
                <w:szCs w:val="18"/>
                <w:color w:val="auto"/>
              </w:rPr>
              <w:t>Overland Park, KS</w:t>
            </w:r>
          </w:p>
        </w:tc>
        <w:tc>
          <w:tcPr>
            <w:tcW w:w="2700" w:type="dxa"/>
            <w:vAlign w:val="bottom"/>
          </w:tcPr>
          <w:p>
            <w:pPr>
              <w:ind w:left="580"/>
              <w:spacing w:after="0"/>
              <w:rPr>
                <w:sz w:val="20"/>
                <w:szCs w:val="20"/>
                <w:color w:val="auto"/>
              </w:rPr>
            </w:pPr>
            <w:r>
              <w:rPr>
                <w:rFonts w:ascii="Arial" w:cs="Arial" w:eastAsia="Arial" w:hAnsi="Arial"/>
                <w:sz w:val="18"/>
                <w:szCs w:val="18"/>
                <w:color w:val="auto"/>
              </w:rPr>
              <w:t>Eatontown, NJ</w:t>
            </w:r>
          </w:p>
        </w:tc>
        <w:tc>
          <w:tcPr>
            <w:tcW w:w="2180" w:type="dxa"/>
            <w:vAlign w:val="bottom"/>
          </w:tcPr>
          <w:p>
            <w:pPr>
              <w:ind w:left="700"/>
              <w:spacing w:after="0"/>
              <w:rPr>
                <w:sz w:val="20"/>
                <w:szCs w:val="20"/>
                <w:color w:val="auto"/>
              </w:rPr>
            </w:pPr>
            <w:r>
              <w:rPr>
                <w:rFonts w:ascii="Arial" w:cs="Arial" w:eastAsia="Arial" w:hAnsi="Arial"/>
                <w:sz w:val="18"/>
                <w:szCs w:val="18"/>
                <w:color w:val="auto"/>
              </w:rPr>
              <w:t>Houston, TX</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Irvine, CA</w:t>
            </w:r>
          </w:p>
        </w:tc>
        <w:tc>
          <w:tcPr>
            <w:tcW w:w="2720" w:type="dxa"/>
            <w:vAlign w:val="bottom"/>
          </w:tcPr>
          <w:p>
            <w:pPr>
              <w:ind w:left="500"/>
              <w:spacing w:after="0"/>
              <w:rPr>
                <w:sz w:val="20"/>
                <w:szCs w:val="20"/>
                <w:color w:val="auto"/>
              </w:rPr>
            </w:pPr>
            <w:r>
              <w:rPr>
                <w:rFonts w:ascii="Arial" w:cs="Arial" w:eastAsia="Arial" w:hAnsi="Arial"/>
                <w:sz w:val="18"/>
                <w:szCs w:val="18"/>
                <w:color w:val="auto"/>
              </w:rPr>
              <w:t>Ashland, KY</w:t>
            </w:r>
          </w:p>
        </w:tc>
        <w:tc>
          <w:tcPr>
            <w:tcW w:w="2700" w:type="dxa"/>
            <w:vAlign w:val="bottom"/>
          </w:tcPr>
          <w:p>
            <w:pPr>
              <w:ind w:left="580"/>
              <w:spacing w:after="0"/>
              <w:rPr>
                <w:sz w:val="20"/>
                <w:szCs w:val="20"/>
                <w:color w:val="auto"/>
              </w:rPr>
            </w:pPr>
            <w:r>
              <w:rPr>
                <w:rFonts w:ascii="Arial" w:cs="Arial" w:eastAsia="Arial" w:hAnsi="Arial"/>
                <w:sz w:val="18"/>
                <w:szCs w:val="18"/>
                <w:color w:val="auto"/>
              </w:rPr>
              <w:t>Morris Plains, NJ</w:t>
            </w:r>
          </w:p>
        </w:tc>
        <w:tc>
          <w:tcPr>
            <w:tcW w:w="2180" w:type="dxa"/>
            <w:vAlign w:val="bottom"/>
          </w:tcPr>
          <w:p>
            <w:pPr>
              <w:ind w:left="700"/>
              <w:spacing w:after="0"/>
              <w:rPr>
                <w:sz w:val="20"/>
                <w:szCs w:val="20"/>
                <w:color w:val="auto"/>
              </w:rPr>
            </w:pPr>
            <w:r>
              <w:rPr>
                <w:rFonts w:ascii="Arial" w:cs="Arial" w:eastAsia="Arial" w:hAnsi="Arial"/>
                <w:sz w:val="18"/>
                <w:szCs w:val="18"/>
                <w:color w:val="auto"/>
              </w:rPr>
              <w:t>Irving, TX</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Riverside, CA</w:t>
            </w:r>
          </w:p>
        </w:tc>
        <w:tc>
          <w:tcPr>
            <w:tcW w:w="2720" w:type="dxa"/>
            <w:vAlign w:val="bottom"/>
          </w:tcPr>
          <w:p>
            <w:pPr>
              <w:ind w:left="500"/>
              <w:spacing w:after="0"/>
              <w:rPr>
                <w:sz w:val="20"/>
                <w:szCs w:val="20"/>
                <w:color w:val="auto"/>
              </w:rPr>
            </w:pPr>
            <w:r>
              <w:rPr>
                <w:rFonts w:ascii="Arial" w:cs="Arial" w:eastAsia="Arial" w:hAnsi="Arial"/>
                <w:sz w:val="18"/>
                <w:szCs w:val="18"/>
                <w:color w:val="auto"/>
              </w:rPr>
              <w:t>Lexington, KY</w:t>
            </w:r>
          </w:p>
        </w:tc>
        <w:tc>
          <w:tcPr>
            <w:tcW w:w="2700" w:type="dxa"/>
            <w:vAlign w:val="bottom"/>
          </w:tcPr>
          <w:p>
            <w:pPr>
              <w:ind w:left="580"/>
              <w:spacing w:after="0"/>
              <w:rPr>
                <w:sz w:val="20"/>
                <w:szCs w:val="20"/>
                <w:color w:val="auto"/>
              </w:rPr>
            </w:pPr>
            <w:r>
              <w:rPr>
                <w:rFonts w:ascii="Arial" w:cs="Arial" w:eastAsia="Arial" w:hAnsi="Arial"/>
                <w:sz w:val="18"/>
                <w:szCs w:val="18"/>
                <w:color w:val="auto"/>
              </w:rPr>
              <w:t>Somers Point, NJ</w:t>
            </w:r>
          </w:p>
        </w:tc>
        <w:tc>
          <w:tcPr>
            <w:tcW w:w="2180" w:type="dxa"/>
            <w:vAlign w:val="bottom"/>
          </w:tcPr>
          <w:p>
            <w:pPr>
              <w:ind w:left="700"/>
              <w:spacing w:after="0"/>
              <w:rPr>
                <w:sz w:val="20"/>
                <w:szCs w:val="20"/>
                <w:color w:val="auto"/>
              </w:rPr>
            </w:pPr>
            <w:r>
              <w:rPr>
                <w:rFonts w:ascii="Arial" w:cs="Arial" w:eastAsia="Arial" w:hAnsi="Arial"/>
                <w:sz w:val="18"/>
                <w:szCs w:val="18"/>
                <w:color w:val="auto"/>
              </w:rPr>
              <w:t>San Antonio, TX</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Sacramento, CA</w:t>
            </w:r>
          </w:p>
        </w:tc>
        <w:tc>
          <w:tcPr>
            <w:tcW w:w="2720" w:type="dxa"/>
            <w:vAlign w:val="bottom"/>
          </w:tcPr>
          <w:p>
            <w:pPr>
              <w:ind w:left="500"/>
              <w:spacing w:after="0"/>
              <w:rPr>
                <w:sz w:val="20"/>
                <w:szCs w:val="20"/>
                <w:color w:val="auto"/>
              </w:rPr>
            </w:pPr>
            <w:r>
              <w:rPr>
                <w:rFonts w:ascii="Arial" w:cs="Arial" w:eastAsia="Arial" w:hAnsi="Arial"/>
                <w:sz w:val="18"/>
                <w:szCs w:val="18"/>
                <w:color w:val="auto"/>
              </w:rPr>
              <w:t>Louisville, KY</w:t>
            </w:r>
          </w:p>
        </w:tc>
        <w:tc>
          <w:tcPr>
            <w:tcW w:w="2700" w:type="dxa"/>
            <w:vAlign w:val="bottom"/>
          </w:tcPr>
          <w:p>
            <w:pPr>
              <w:ind w:left="580"/>
              <w:spacing w:after="0"/>
              <w:rPr>
                <w:sz w:val="20"/>
                <w:szCs w:val="20"/>
                <w:color w:val="auto"/>
              </w:rPr>
            </w:pPr>
            <w:r>
              <w:rPr>
                <w:rFonts w:ascii="Arial" w:cs="Arial" w:eastAsia="Arial" w:hAnsi="Arial"/>
                <w:sz w:val="18"/>
                <w:szCs w:val="18"/>
                <w:color w:val="auto"/>
              </w:rPr>
              <w:t>Las Vegas, NV</w:t>
            </w:r>
          </w:p>
        </w:tc>
        <w:tc>
          <w:tcPr>
            <w:tcW w:w="2180" w:type="dxa"/>
            <w:vAlign w:val="bottom"/>
          </w:tcPr>
          <w:p>
            <w:pPr>
              <w:ind w:left="700"/>
              <w:spacing w:after="0"/>
              <w:rPr>
                <w:sz w:val="20"/>
                <w:szCs w:val="20"/>
                <w:color w:val="auto"/>
              </w:rPr>
            </w:pPr>
            <w:r>
              <w:rPr>
                <w:rFonts w:ascii="Arial" w:cs="Arial" w:eastAsia="Arial" w:hAnsi="Arial"/>
                <w:sz w:val="18"/>
                <w:szCs w:val="18"/>
                <w:color w:val="auto"/>
              </w:rPr>
              <w:t>Salt Lake City, UT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San Diego, CA</w:t>
            </w:r>
          </w:p>
        </w:tc>
        <w:tc>
          <w:tcPr>
            <w:tcW w:w="2720" w:type="dxa"/>
            <w:vAlign w:val="bottom"/>
          </w:tcPr>
          <w:p>
            <w:pPr>
              <w:ind w:left="500"/>
              <w:spacing w:after="0"/>
              <w:rPr>
                <w:sz w:val="20"/>
                <w:szCs w:val="20"/>
                <w:color w:val="auto"/>
              </w:rPr>
            </w:pPr>
            <w:r>
              <w:rPr>
                <w:rFonts w:ascii="Arial" w:cs="Arial" w:eastAsia="Arial" w:hAnsi="Arial"/>
                <w:sz w:val="18"/>
                <w:szCs w:val="18"/>
                <w:color w:val="auto"/>
              </w:rPr>
              <w:t>Baton Rouge, LA</w:t>
            </w:r>
          </w:p>
        </w:tc>
        <w:tc>
          <w:tcPr>
            <w:tcW w:w="2700" w:type="dxa"/>
            <w:vAlign w:val="bottom"/>
          </w:tcPr>
          <w:p>
            <w:pPr>
              <w:ind w:left="580"/>
              <w:spacing w:after="0"/>
              <w:rPr>
                <w:sz w:val="20"/>
                <w:szCs w:val="20"/>
                <w:color w:val="auto"/>
              </w:rPr>
            </w:pPr>
            <w:r>
              <w:rPr>
                <w:rFonts w:ascii="Arial" w:cs="Arial" w:eastAsia="Arial" w:hAnsi="Arial"/>
                <w:sz w:val="18"/>
                <w:szCs w:val="18"/>
                <w:color w:val="auto"/>
              </w:rPr>
              <w:t>Reno, NV</w:t>
            </w:r>
          </w:p>
        </w:tc>
        <w:tc>
          <w:tcPr>
            <w:tcW w:w="2180" w:type="dxa"/>
            <w:vAlign w:val="bottom"/>
          </w:tcPr>
          <w:p>
            <w:pPr>
              <w:ind w:left="700"/>
              <w:spacing w:after="0"/>
              <w:rPr>
                <w:sz w:val="20"/>
                <w:szCs w:val="20"/>
                <w:color w:val="auto"/>
              </w:rPr>
            </w:pPr>
            <w:r>
              <w:rPr>
                <w:rFonts w:ascii="Arial" w:cs="Arial" w:eastAsia="Arial" w:hAnsi="Arial"/>
                <w:sz w:val="18"/>
                <w:szCs w:val="18"/>
                <w:color w:val="auto"/>
              </w:rPr>
              <w:t>Ashland, VA</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Santa Fe Springs, CA (2)</w:t>
            </w:r>
          </w:p>
        </w:tc>
        <w:tc>
          <w:tcPr>
            <w:tcW w:w="2720" w:type="dxa"/>
            <w:vAlign w:val="bottom"/>
          </w:tcPr>
          <w:p>
            <w:pPr>
              <w:ind w:left="500"/>
              <w:spacing w:after="0"/>
              <w:rPr>
                <w:sz w:val="20"/>
                <w:szCs w:val="20"/>
                <w:color w:val="auto"/>
              </w:rPr>
            </w:pPr>
            <w:r>
              <w:rPr>
                <w:rFonts w:ascii="Arial" w:cs="Arial" w:eastAsia="Arial" w:hAnsi="Arial"/>
                <w:sz w:val="18"/>
                <w:szCs w:val="18"/>
                <w:color w:val="auto"/>
              </w:rPr>
              <w:t>New Orleans, LA</w:t>
            </w:r>
          </w:p>
        </w:tc>
        <w:tc>
          <w:tcPr>
            <w:tcW w:w="2700" w:type="dxa"/>
            <w:vAlign w:val="bottom"/>
          </w:tcPr>
          <w:p>
            <w:pPr>
              <w:ind w:left="580"/>
              <w:spacing w:after="0"/>
              <w:rPr>
                <w:sz w:val="20"/>
                <w:szCs w:val="20"/>
                <w:color w:val="auto"/>
              </w:rPr>
            </w:pPr>
            <w:r>
              <w:rPr>
                <w:rFonts w:ascii="Arial" w:cs="Arial" w:eastAsia="Arial" w:hAnsi="Arial"/>
                <w:sz w:val="18"/>
                <w:szCs w:val="18"/>
                <w:color w:val="auto"/>
              </w:rPr>
              <w:t>College Point, NY</w:t>
            </w:r>
          </w:p>
        </w:tc>
        <w:tc>
          <w:tcPr>
            <w:tcW w:w="2180" w:type="dxa"/>
            <w:vAlign w:val="bottom"/>
          </w:tcPr>
          <w:p>
            <w:pPr>
              <w:ind w:left="700"/>
              <w:spacing w:after="0"/>
              <w:rPr>
                <w:sz w:val="20"/>
                <w:szCs w:val="20"/>
                <w:color w:val="auto"/>
              </w:rPr>
            </w:pPr>
            <w:r>
              <w:rPr>
                <w:rFonts w:ascii="Arial" w:cs="Arial" w:eastAsia="Arial" w:hAnsi="Arial"/>
                <w:sz w:val="18"/>
                <w:szCs w:val="18"/>
                <w:color w:val="auto"/>
              </w:rPr>
              <w:t>Chantilly, VA</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Sun Valley, CA</w:t>
            </w:r>
          </w:p>
        </w:tc>
        <w:tc>
          <w:tcPr>
            <w:tcW w:w="2720" w:type="dxa"/>
            <w:vAlign w:val="bottom"/>
          </w:tcPr>
          <w:p>
            <w:pPr>
              <w:ind w:left="500"/>
              <w:spacing w:after="0"/>
              <w:rPr>
                <w:sz w:val="20"/>
                <w:szCs w:val="20"/>
                <w:color w:val="auto"/>
              </w:rPr>
            </w:pPr>
            <w:r>
              <w:rPr>
                <w:rFonts w:ascii="Arial" w:cs="Arial" w:eastAsia="Arial" w:hAnsi="Arial"/>
                <w:sz w:val="18"/>
                <w:szCs w:val="18"/>
                <w:color w:val="auto"/>
              </w:rPr>
              <w:t>Shreveport, LA</w:t>
            </w:r>
          </w:p>
        </w:tc>
        <w:tc>
          <w:tcPr>
            <w:tcW w:w="2700" w:type="dxa"/>
            <w:vAlign w:val="bottom"/>
          </w:tcPr>
          <w:p>
            <w:pPr>
              <w:ind w:left="580"/>
              <w:spacing w:after="0"/>
              <w:rPr>
                <w:sz w:val="20"/>
                <w:szCs w:val="20"/>
                <w:color w:val="auto"/>
              </w:rPr>
            </w:pPr>
            <w:r>
              <w:rPr>
                <w:rFonts w:ascii="Arial" w:cs="Arial" w:eastAsia="Arial" w:hAnsi="Arial"/>
                <w:sz w:val="18"/>
                <w:szCs w:val="18"/>
                <w:color w:val="auto"/>
              </w:rPr>
              <w:t>Orchard Park, NY</w:t>
            </w:r>
          </w:p>
        </w:tc>
        <w:tc>
          <w:tcPr>
            <w:tcW w:w="2180" w:type="dxa"/>
            <w:vAlign w:val="bottom"/>
          </w:tcPr>
          <w:p>
            <w:pPr>
              <w:ind w:left="700"/>
              <w:spacing w:after="0"/>
              <w:rPr>
                <w:sz w:val="20"/>
                <w:szCs w:val="20"/>
                <w:color w:val="auto"/>
              </w:rPr>
            </w:pPr>
            <w:r>
              <w:rPr>
                <w:rFonts w:ascii="Arial" w:cs="Arial" w:eastAsia="Arial" w:hAnsi="Arial"/>
                <w:sz w:val="18"/>
                <w:szCs w:val="18"/>
                <w:color w:val="auto"/>
              </w:rPr>
              <w:t>Norfolk, VA</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Englewood, CO</w:t>
            </w:r>
          </w:p>
        </w:tc>
        <w:tc>
          <w:tcPr>
            <w:tcW w:w="2720" w:type="dxa"/>
            <w:vAlign w:val="bottom"/>
          </w:tcPr>
          <w:p>
            <w:pPr>
              <w:ind w:left="500"/>
              <w:spacing w:after="0"/>
              <w:rPr>
                <w:sz w:val="20"/>
                <w:szCs w:val="20"/>
                <w:color w:val="auto"/>
              </w:rPr>
            </w:pPr>
            <w:r>
              <w:rPr>
                <w:rFonts w:ascii="Arial" w:cs="Arial" w:eastAsia="Arial" w:hAnsi="Arial"/>
                <w:sz w:val="18"/>
                <w:szCs w:val="18"/>
                <w:color w:val="auto"/>
              </w:rPr>
              <w:t>Marlborough, MA</w:t>
            </w:r>
          </w:p>
        </w:tc>
        <w:tc>
          <w:tcPr>
            <w:tcW w:w="2700" w:type="dxa"/>
            <w:vAlign w:val="bottom"/>
          </w:tcPr>
          <w:p>
            <w:pPr>
              <w:ind w:left="580"/>
              <w:spacing w:after="0"/>
              <w:rPr>
                <w:sz w:val="20"/>
                <w:szCs w:val="20"/>
                <w:color w:val="auto"/>
              </w:rPr>
            </w:pPr>
            <w:r>
              <w:rPr>
                <w:rFonts w:ascii="Arial" w:cs="Arial" w:eastAsia="Arial" w:hAnsi="Arial"/>
                <w:sz w:val="18"/>
                <w:szCs w:val="18"/>
                <w:color w:val="auto"/>
              </w:rPr>
              <w:t>Brecksville, OH</w:t>
            </w:r>
          </w:p>
        </w:tc>
        <w:tc>
          <w:tcPr>
            <w:tcW w:w="2180" w:type="dxa"/>
            <w:vAlign w:val="bottom"/>
          </w:tcPr>
          <w:p>
            <w:pPr>
              <w:ind w:left="700"/>
              <w:spacing w:after="0"/>
              <w:rPr>
                <w:sz w:val="20"/>
                <w:szCs w:val="20"/>
                <w:color w:val="auto"/>
              </w:rPr>
            </w:pPr>
            <w:r>
              <w:rPr>
                <w:rFonts w:ascii="Arial" w:cs="Arial" w:eastAsia="Arial" w:hAnsi="Arial"/>
                <w:sz w:val="18"/>
                <w:szCs w:val="18"/>
                <w:color w:val="auto"/>
              </w:rPr>
              <w:t>Roanoke, VA</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Shelton, CT</w:t>
            </w:r>
          </w:p>
        </w:tc>
        <w:tc>
          <w:tcPr>
            <w:tcW w:w="2720" w:type="dxa"/>
            <w:vAlign w:val="bottom"/>
          </w:tcPr>
          <w:p>
            <w:pPr>
              <w:ind w:left="500"/>
              <w:spacing w:after="0"/>
              <w:rPr>
                <w:sz w:val="20"/>
                <w:szCs w:val="20"/>
                <w:color w:val="auto"/>
              </w:rPr>
            </w:pPr>
            <w:r>
              <w:rPr>
                <w:rFonts w:ascii="Arial" w:cs="Arial" w:eastAsia="Arial" w:hAnsi="Arial"/>
                <w:sz w:val="18"/>
                <w:szCs w:val="18"/>
                <w:color w:val="auto"/>
              </w:rPr>
              <w:t>Columbia, MD</w:t>
            </w:r>
          </w:p>
        </w:tc>
        <w:tc>
          <w:tcPr>
            <w:tcW w:w="2700" w:type="dxa"/>
            <w:vAlign w:val="bottom"/>
          </w:tcPr>
          <w:p>
            <w:pPr>
              <w:ind w:left="580"/>
              <w:spacing w:after="0"/>
              <w:rPr>
                <w:sz w:val="20"/>
                <w:szCs w:val="20"/>
                <w:color w:val="auto"/>
              </w:rPr>
            </w:pPr>
            <w:r>
              <w:rPr>
                <w:rFonts w:ascii="Arial" w:cs="Arial" w:eastAsia="Arial" w:hAnsi="Arial"/>
                <w:sz w:val="18"/>
                <w:szCs w:val="18"/>
                <w:color w:val="auto"/>
              </w:rPr>
              <w:t>Canfield, OH</w:t>
            </w:r>
          </w:p>
        </w:tc>
        <w:tc>
          <w:tcPr>
            <w:tcW w:w="2180" w:type="dxa"/>
            <w:vAlign w:val="bottom"/>
          </w:tcPr>
          <w:p>
            <w:pPr>
              <w:ind w:left="700"/>
              <w:spacing w:after="0"/>
              <w:rPr>
                <w:sz w:val="20"/>
                <w:szCs w:val="20"/>
                <w:color w:val="auto"/>
              </w:rPr>
            </w:pPr>
            <w:r>
              <w:rPr>
                <w:rFonts w:ascii="Arial" w:cs="Arial" w:eastAsia="Arial" w:hAnsi="Arial"/>
                <w:sz w:val="18"/>
                <w:szCs w:val="18"/>
                <w:color w:val="auto"/>
              </w:rPr>
              <w:t>Rutland, VT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Newark, DE</w:t>
            </w:r>
          </w:p>
        </w:tc>
        <w:tc>
          <w:tcPr>
            <w:tcW w:w="2720" w:type="dxa"/>
            <w:vAlign w:val="bottom"/>
          </w:tcPr>
          <w:p>
            <w:pPr>
              <w:ind w:left="500"/>
              <w:spacing w:after="0"/>
              <w:rPr>
                <w:sz w:val="20"/>
                <w:szCs w:val="20"/>
                <w:color w:val="auto"/>
              </w:rPr>
            </w:pPr>
            <w:r>
              <w:rPr>
                <w:rFonts w:ascii="Arial" w:cs="Arial" w:eastAsia="Arial" w:hAnsi="Arial"/>
                <w:sz w:val="18"/>
                <w:szCs w:val="18"/>
                <w:color w:val="auto"/>
              </w:rPr>
              <w:t>Auburn, ME</w:t>
            </w:r>
          </w:p>
        </w:tc>
        <w:tc>
          <w:tcPr>
            <w:tcW w:w="2700" w:type="dxa"/>
            <w:vAlign w:val="bottom"/>
          </w:tcPr>
          <w:p>
            <w:pPr>
              <w:ind w:left="580"/>
              <w:spacing w:after="0"/>
              <w:rPr>
                <w:sz w:val="20"/>
                <w:szCs w:val="20"/>
                <w:color w:val="auto"/>
              </w:rPr>
            </w:pPr>
            <w:r>
              <w:rPr>
                <w:rFonts w:ascii="Arial" w:cs="Arial" w:eastAsia="Arial" w:hAnsi="Arial"/>
                <w:sz w:val="18"/>
                <w:szCs w:val="18"/>
                <w:color w:val="auto"/>
              </w:rPr>
              <w:t>Dublin, OH</w:t>
            </w:r>
          </w:p>
        </w:tc>
        <w:tc>
          <w:tcPr>
            <w:tcW w:w="2180" w:type="dxa"/>
            <w:vAlign w:val="bottom"/>
          </w:tcPr>
          <w:p>
            <w:pPr>
              <w:ind w:left="700"/>
              <w:spacing w:after="0"/>
              <w:rPr>
                <w:sz w:val="20"/>
                <w:szCs w:val="20"/>
                <w:color w:val="auto"/>
              </w:rPr>
            </w:pPr>
            <w:r>
              <w:rPr>
                <w:rFonts w:ascii="Arial" w:cs="Arial" w:eastAsia="Arial" w:hAnsi="Arial"/>
                <w:sz w:val="18"/>
                <w:szCs w:val="18"/>
                <w:color w:val="auto"/>
              </w:rPr>
              <w:t>Everett, WA</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Fort Myers, FL</w:t>
            </w:r>
          </w:p>
        </w:tc>
        <w:tc>
          <w:tcPr>
            <w:tcW w:w="2720" w:type="dxa"/>
            <w:vAlign w:val="bottom"/>
          </w:tcPr>
          <w:p>
            <w:pPr>
              <w:ind w:left="500"/>
              <w:spacing w:after="0"/>
              <w:rPr>
                <w:sz w:val="20"/>
                <w:szCs w:val="20"/>
                <w:color w:val="auto"/>
              </w:rPr>
            </w:pPr>
            <w:r>
              <w:rPr>
                <w:rFonts w:ascii="Arial" w:cs="Arial" w:eastAsia="Arial" w:hAnsi="Arial"/>
                <w:sz w:val="18"/>
                <w:szCs w:val="18"/>
                <w:color w:val="auto"/>
              </w:rPr>
              <w:t>Farmington Hills, MI</w:t>
            </w:r>
          </w:p>
        </w:tc>
        <w:tc>
          <w:tcPr>
            <w:tcW w:w="2700" w:type="dxa"/>
            <w:vAlign w:val="bottom"/>
          </w:tcPr>
          <w:p>
            <w:pPr>
              <w:ind w:left="580"/>
              <w:spacing w:after="0"/>
              <w:rPr>
                <w:sz w:val="20"/>
                <w:szCs w:val="20"/>
                <w:color w:val="auto"/>
              </w:rPr>
            </w:pPr>
            <w:r>
              <w:rPr>
                <w:rFonts w:ascii="Arial" w:cs="Arial" w:eastAsia="Arial" w:hAnsi="Arial"/>
                <w:sz w:val="18"/>
                <w:szCs w:val="18"/>
                <w:color w:val="auto"/>
              </w:rPr>
              <w:t>Milford, OH</w:t>
            </w:r>
          </w:p>
        </w:tc>
        <w:tc>
          <w:tcPr>
            <w:tcW w:w="2180" w:type="dxa"/>
            <w:vAlign w:val="bottom"/>
          </w:tcPr>
          <w:p>
            <w:pPr>
              <w:ind w:left="700"/>
              <w:spacing w:after="0"/>
              <w:rPr>
                <w:sz w:val="20"/>
                <w:szCs w:val="20"/>
                <w:color w:val="auto"/>
              </w:rPr>
            </w:pPr>
            <w:r>
              <w:rPr>
                <w:rFonts w:ascii="Arial" w:cs="Arial" w:eastAsia="Arial" w:hAnsi="Arial"/>
                <w:sz w:val="18"/>
                <w:szCs w:val="18"/>
                <w:color w:val="auto"/>
                <w:w w:val="88"/>
              </w:rPr>
              <w:t>Spokane Valley, WA</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Gainesville, FL</w:t>
            </w:r>
          </w:p>
        </w:tc>
        <w:tc>
          <w:tcPr>
            <w:tcW w:w="2720" w:type="dxa"/>
            <w:vAlign w:val="bottom"/>
          </w:tcPr>
          <w:p>
            <w:pPr>
              <w:ind w:left="500"/>
              <w:spacing w:after="0"/>
              <w:rPr>
                <w:sz w:val="20"/>
                <w:szCs w:val="20"/>
                <w:color w:val="auto"/>
              </w:rPr>
            </w:pPr>
            <w:r>
              <w:rPr>
                <w:rFonts w:ascii="Arial" w:cs="Arial" w:eastAsia="Arial" w:hAnsi="Arial"/>
                <w:sz w:val="18"/>
                <w:szCs w:val="18"/>
                <w:color w:val="auto"/>
              </w:rPr>
              <w:t>Grand Rapids, MI</w:t>
            </w:r>
          </w:p>
        </w:tc>
        <w:tc>
          <w:tcPr>
            <w:tcW w:w="2700" w:type="dxa"/>
            <w:vAlign w:val="bottom"/>
          </w:tcPr>
          <w:p>
            <w:pPr>
              <w:ind w:left="580"/>
              <w:spacing w:after="0"/>
              <w:rPr>
                <w:sz w:val="20"/>
                <w:szCs w:val="20"/>
                <w:color w:val="auto"/>
              </w:rPr>
            </w:pPr>
            <w:r>
              <w:rPr>
                <w:rFonts w:ascii="Arial" w:cs="Arial" w:eastAsia="Arial" w:hAnsi="Arial"/>
                <w:sz w:val="18"/>
                <w:szCs w:val="18"/>
                <w:color w:val="auto"/>
              </w:rPr>
              <w:t>Sylvania, OH</w:t>
            </w:r>
          </w:p>
        </w:tc>
        <w:tc>
          <w:tcPr>
            <w:tcW w:w="2180" w:type="dxa"/>
            <w:vAlign w:val="bottom"/>
          </w:tcPr>
          <w:p>
            <w:pPr>
              <w:ind w:left="700"/>
              <w:spacing w:after="0"/>
              <w:rPr>
                <w:sz w:val="20"/>
                <w:szCs w:val="20"/>
                <w:color w:val="auto"/>
              </w:rPr>
            </w:pPr>
            <w:r>
              <w:rPr>
                <w:rFonts w:ascii="Arial" w:cs="Arial" w:eastAsia="Arial" w:hAnsi="Arial"/>
                <w:sz w:val="18"/>
                <w:szCs w:val="18"/>
                <w:color w:val="auto"/>
              </w:rPr>
              <w:t>Tukwila, WA</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Jacksonville, FL</w:t>
            </w:r>
          </w:p>
        </w:tc>
        <w:tc>
          <w:tcPr>
            <w:tcW w:w="2720" w:type="dxa"/>
            <w:vAlign w:val="bottom"/>
          </w:tcPr>
          <w:p>
            <w:pPr>
              <w:ind w:left="500"/>
              <w:spacing w:after="0"/>
              <w:rPr>
                <w:sz w:val="20"/>
                <w:szCs w:val="20"/>
                <w:color w:val="auto"/>
              </w:rPr>
            </w:pPr>
            <w:r>
              <w:rPr>
                <w:rFonts w:ascii="Arial" w:cs="Arial" w:eastAsia="Arial" w:hAnsi="Arial"/>
                <w:sz w:val="18"/>
                <w:szCs w:val="18"/>
                <w:color w:val="auto"/>
              </w:rPr>
              <w:t>Roseville, MN</w:t>
            </w:r>
          </w:p>
        </w:tc>
        <w:tc>
          <w:tcPr>
            <w:tcW w:w="2700" w:type="dxa"/>
            <w:vAlign w:val="bottom"/>
          </w:tcPr>
          <w:p>
            <w:pPr>
              <w:ind w:left="580"/>
              <w:spacing w:after="0"/>
              <w:rPr>
                <w:sz w:val="20"/>
                <w:szCs w:val="20"/>
                <w:color w:val="auto"/>
              </w:rPr>
            </w:pPr>
            <w:r>
              <w:rPr>
                <w:rFonts w:ascii="Arial" w:cs="Arial" w:eastAsia="Arial" w:hAnsi="Arial"/>
                <w:sz w:val="18"/>
                <w:szCs w:val="18"/>
                <w:color w:val="auto"/>
              </w:rPr>
              <w:t>Oklahoma City, OK</w:t>
            </w:r>
          </w:p>
        </w:tc>
        <w:tc>
          <w:tcPr>
            <w:tcW w:w="2180" w:type="dxa"/>
            <w:vAlign w:val="bottom"/>
          </w:tcPr>
          <w:p>
            <w:pPr>
              <w:ind w:left="700"/>
              <w:spacing w:after="0"/>
              <w:rPr>
                <w:sz w:val="20"/>
                <w:szCs w:val="20"/>
                <w:color w:val="auto"/>
              </w:rPr>
            </w:pPr>
            <w:r>
              <w:rPr>
                <w:rFonts w:ascii="Arial" w:cs="Arial" w:eastAsia="Arial" w:hAnsi="Arial"/>
                <w:sz w:val="18"/>
                <w:szCs w:val="18"/>
                <w:color w:val="auto"/>
              </w:rPr>
              <w:t>Wauwatosa, WI</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Melbourne, FL</w:t>
            </w:r>
          </w:p>
        </w:tc>
        <w:tc>
          <w:tcPr>
            <w:tcW w:w="2720" w:type="dxa"/>
            <w:vAlign w:val="bottom"/>
          </w:tcPr>
          <w:p>
            <w:pPr>
              <w:ind w:left="500"/>
              <w:spacing w:after="0"/>
              <w:rPr>
                <w:sz w:val="20"/>
                <w:szCs w:val="20"/>
                <w:color w:val="auto"/>
              </w:rPr>
            </w:pPr>
            <w:r>
              <w:rPr>
                <w:rFonts w:ascii="Arial" w:cs="Arial" w:eastAsia="Arial" w:hAnsi="Arial"/>
                <w:sz w:val="18"/>
                <w:szCs w:val="18"/>
                <w:color w:val="auto"/>
              </w:rPr>
              <w:t>Sauk Rapids, MN</w:t>
            </w:r>
          </w:p>
        </w:tc>
        <w:tc>
          <w:tcPr>
            <w:tcW w:w="2700" w:type="dxa"/>
            <w:vAlign w:val="bottom"/>
          </w:tcPr>
          <w:p>
            <w:pPr>
              <w:ind w:left="580"/>
              <w:spacing w:after="0"/>
              <w:rPr>
                <w:sz w:val="20"/>
                <w:szCs w:val="20"/>
                <w:color w:val="auto"/>
              </w:rPr>
            </w:pPr>
            <w:r>
              <w:rPr>
                <w:rFonts w:ascii="Arial" w:cs="Arial" w:eastAsia="Arial" w:hAnsi="Arial"/>
                <w:sz w:val="18"/>
                <w:szCs w:val="18"/>
                <w:color w:val="auto"/>
              </w:rPr>
              <w:t>Bend, OR</w:t>
            </w:r>
          </w:p>
        </w:tc>
        <w:tc>
          <w:tcPr>
            <w:tcW w:w="2180" w:type="dxa"/>
            <w:vAlign w:val="bottom"/>
          </w:tcPr>
          <w:p>
            <w:pPr>
              <w:ind w:left="700"/>
              <w:spacing w:after="0"/>
              <w:rPr>
                <w:sz w:val="20"/>
                <w:szCs w:val="20"/>
                <w:color w:val="auto"/>
              </w:rPr>
            </w:pPr>
            <w:r>
              <w:rPr>
                <w:rFonts w:ascii="Arial" w:cs="Arial" w:eastAsia="Arial" w:hAnsi="Arial"/>
                <w:sz w:val="18"/>
                <w:szCs w:val="18"/>
                <w:color w:val="auto"/>
              </w:rPr>
              <w:t>Charleston, WV</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Miramar, FL</w:t>
            </w:r>
          </w:p>
        </w:tc>
        <w:tc>
          <w:tcPr>
            <w:tcW w:w="2720" w:type="dxa"/>
            <w:vAlign w:val="bottom"/>
          </w:tcPr>
          <w:p>
            <w:pPr>
              <w:ind w:left="500"/>
              <w:spacing w:after="0"/>
              <w:rPr>
                <w:sz w:val="20"/>
                <w:szCs w:val="20"/>
                <w:color w:val="auto"/>
              </w:rPr>
            </w:pPr>
            <w:r>
              <w:rPr>
                <w:rFonts w:ascii="Arial" w:cs="Arial" w:eastAsia="Arial" w:hAnsi="Arial"/>
                <w:sz w:val="18"/>
                <w:szCs w:val="18"/>
                <w:color w:val="auto"/>
              </w:rPr>
              <w:t>Columbia, MO</w:t>
            </w:r>
          </w:p>
        </w:tc>
        <w:tc>
          <w:tcPr>
            <w:tcW w:w="2700" w:type="dxa"/>
            <w:vAlign w:val="bottom"/>
          </w:tcPr>
          <w:p>
            <w:pPr>
              <w:ind w:left="580"/>
              <w:spacing w:after="0"/>
              <w:rPr>
                <w:sz w:val="20"/>
                <w:szCs w:val="20"/>
                <w:color w:val="auto"/>
              </w:rPr>
            </w:pPr>
            <w:r>
              <w:rPr>
                <w:rFonts w:ascii="Arial" w:cs="Arial" w:eastAsia="Arial" w:hAnsi="Arial"/>
                <w:sz w:val="18"/>
                <w:szCs w:val="18"/>
                <w:color w:val="auto"/>
              </w:rPr>
              <w:t>Portland, OR</w:t>
            </w:r>
          </w:p>
        </w:tc>
        <w:tc>
          <w:tcPr>
            <w:tcW w:w="2180" w:type="dxa"/>
            <w:vAlign w:val="bottom"/>
          </w:tcPr>
          <w:p>
            <w:pPr>
              <w:ind w:left="700"/>
              <w:spacing w:after="0"/>
              <w:rPr>
                <w:sz w:val="20"/>
                <w:szCs w:val="20"/>
                <w:color w:val="auto"/>
              </w:rPr>
            </w:pPr>
            <w:r>
              <w:rPr>
                <w:rFonts w:ascii="Arial" w:cs="Arial" w:eastAsia="Arial" w:hAnsi="Arial"/>
                <w:sz w:val="18"/>
                <w:szCs w:val="18"/>
                <w:color w:val="auto"/>
              </w:rPr>
              <w:t>White Hall, WV</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St. Petersburg, FL</w:t>
            </w:r>
          </w:p>
        </w:tc>
        <w:tc>
          <w:tcPr>
            <w:tcW w:w="2720" w:type="dxa"/>
            <w:vAlign w:val="bottom"/>
          </w:tcPr>
          <w:p>
            <w:pPr>
              <w:ind w:left="500"/>
              <w:spacing w:after="0"/>
              <w:rPr>
                <w:sz w:val="20"/>
                <w:szCs w:val="20"/>
                <w:color w:val="auto"/>
              </w:rPr>
            </w:pPr>
            <w:r>
              <w:rPr>
                <w:rFonts w:ascii="Arial" w:cs="Arial" w:eastAsia="Arial" w:hAnsi="Arial"/>
                <w:sz w:val="18"/>
                <w:szCs w:val="18"/>
                <w:color w:val="auto"/>
              </w:rPr>
              <w:t>Fenton, MO</w:t>
            </w:r>
          </w:p>
        </w:tc>
        <w:tc>
          <w:tcPr>
            <w:tcW w:w="2700" w:type="dxa"/>
            <w:vAlign w:val="bottom"/>
          </w:tcPr>
          <w:p>
            <w:pPr>
              <w:ind w:left="580"/>
              <w:spacing w:after="0"/>
              <w:rPr>
                <w:sz w:val="20"/>
                <w:szCs w:val="20"/>
                <w:color w:val="auto"/>
              </w:rPr>
            </w:pPr>
            <w:r>
              <w:rPr>
                <w:rFonts w:ascii="Arial" w:cs="Arial" w:eastAsia="Arial" w:hAnsi="Arial"/>
                <w:sz w:val="18"/>
                <w:szCs w:val="18"/>
                <w:color w:val="auto"/>
              </w:rPr>
              <w:t>Audubon, PA</w:t>
            </w:r>
          </w:p>
        </w:tc>
        <w:tc>
          <w:tcPr>
            <w:tcW w:w="218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Albany, GA</w:t>
            </w:r>
          </w:p>
        </w:tc>
        <w:tc>
          <w:tcPr>
            <w:tcW w:w="2720" w:type="dxa"/>
            <w:vAlign w:val="bottom"/>
          </w:tcPr>
          <w:p>
            <w:pPr>
              <w:ind w:left="500"/>
              <w:spacing w:after="0"/>
              <w:rPr>
                <w:sz w:val="20"/>
                <w:szCs w:val="20"/>
                <w:color w:val="auto"/>
              </w:rPr>
            </w:pPr>
            <w:r>
              <w:rPr>
                <w:rFonts w:ascii="Arial" w:cs="Arial" w:eastAsia="Arial" w:hAnsi="Arial"/>
                <w:sz w:val="18"/>
                <w:szCs w:val="18"/>
                <w:color w:val="auto"/>
              </w:rPr>
              <w:t>Pearl, MS</w:t>
            </w:r>
          </w:p>
        </w:tc>
        <w:tc>
          <w:tcPr>
            <w:tcW w:w="2700" w:type="dxa"/>
            <w:vAlign w:val="bottom"/>
          </w:tcPr>
          <w:p>
            <w:pPr>
              <w:ind w:left="580"/>
              <w:spacing w:after="0"/>
              <w:rPr>
                <w:sz w:val="20"/>
                <w:szCs w:val="20"/>
                <w:color w:val="auto"/>
              </w:rPr>
            </w:pPr>
            <w:r>
              <w:rPr>
                <w:rFonts w:ascii="Arial" w:cs="Arial" w:eastAsia="Arial" w:hAnsi="Arial"/>
                <w:sz w:val="18"/>
                <w:szCs w:val="18"/>
                <w:color w:val="auto"/>
              </w:rPr>
              <w:t>Dunmore, PA</w:t>
            </w:r>
          </w:p>
        </w:tc>
        <w:tc>
          <w:tcPr>
            <w:tcW w:w="218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Augusta, GA</w:t>
            </w:r>
          </w:p>
        </w:tc>
        <w:tc>
          <w:tcPr>
            <w:tcW w:w="2720" w:type="dxa"/>
            <w:vAlign w:val="bottom"/>
          </w:tcPr>
          <w:p>
            <w:pPr>
              <w:ind w:left="500"/>
              <w:spacing w:after="0"/>
              <w:rPr>
                <w:sz w:val="20"/>
                <w:szCs w:val="20"/>
                <w:color w:val="auto"/>
              </w:rPr>
            </w:pPr>
            <w:r>
              <w:rPr>
                <w:rFonts w:ascii="Arial" w:cs="Arial" w:eastAsia="Arial" w:hAnsi="Arial"/>
                <w:sz w:val="18"/>
                <w:szCs w:val="18"/>
                <w:color w:val="auto"/>
              </w:rPr>
              <w:t>Bozeman, MT</w:t>
            </w:r>
          </w:p>
        </w:tc>
        <w:tc>
          <w:tcPr>
            <w:tcW w:w="2700" w:type="dxa"/>
            <w:vAlign w:val="bottom"/>
          </w:tcPr>
          <w:p>
            <w:pPr>
              <w:ind w:left="580"/>
              <w:spacing w:after="0"/>
              <w:rPr>
                <w:sz w:val="20"/>
                <w:szCs w:val="20"/>
                <w:color w:val="auto"/>
              </w:rPr>
            </w:pPr>
            <w:r>
              <w:rPr>
                <w:rFonts w:ascii="Arial" w:cs="Arial" w:eastAsia="Arial" w:hAnsi="Arial"/>
                <w:sz w:val="18"/>
                <w:szCs w:val="18"/>
                <w:color w:val="auto"/>
              </w:rPr>
              <w:t>York, PA</w:t>
            </w:r>
          </w:p>
        </w:tc>
        <w:tc>
          <w:tcPr>
            <w:tcW w:w="2180" w:type="dxa"/>
            <w:vAlign w:val="bottom"/>
          </w:tcPr>
          <w:p>
            <w:pPr>
              <w:spacing w:after="0"/>
              <w:rPr>
                <w:sz w:val="20"/>
                <w:szCs w:val="20"/>
                <w:color w:val="auto"/>
              </w:rPr>
            </w:pPr>
          </w:p>
        </w:tc>
      </w:tr>
    </w:tbl>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ind w:firstLine="342"/>
        <w:spacing w:after="0" w:line="277" w:lineRule="auto"/>
        <w:rPr>
          <w:sz w:val="20"/>
          <w:szCs w:val="20"/>
          <w:color w:val="auto"/>
        </w:rPr>
      </w:pPr>
      <w:r>
        <w:rPr>
          <w:rFonts w:ascii="Arial" w:cs="Arial" w:eastAsia="Arial" w:hAnsi="Arial"/>
          <w:sz w:val="18"/>
          <w:szCs w:val="18"/>
          <w:color w:val="auto"/>
        </w:rPr>
        <w:t xml:space="preserve">For a summary of material legal proceedings, if any,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consolidated financial statements included in Item 8 of this report.</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February 3, 2020, our Common Stock, par value $0.0001 per share, was traded on the Nasdaq Capital Market under the symbol “BIOS”. On February 3, 2020, we changed our symbol to “OPCH” and began trading on the Nasdaq Global Select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8, 2021, there were 142 stockholders of record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on our Common Stock and do not anticipate doing so in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12, “Security Ownership of Certain Beneficial Owners and Management and Related Stockholder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 of Unregistered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graph compares the total cumulative returns of BioScrip through August 6, 2019 and Option Care Health from August 7, 2019 through December 31, 2020 with the total cumulative returns of the Nasdaq Composite Index and the Nasdaq Health Services Index for the five-year period from December 31, 2015 through December 31, 2020. The graph shows the performance of a $100 investment in our Common Stock and each index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110490</wp:posOffset>
            </wp:positionV>
            <wp:extent cx="5143500" cy="3351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2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212"/>
        </w:trPr>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Option Care Health, Inc.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223.43</w:t>
            </w:r>
          </w:p>
        </w:tc>
      </w:tr>
      <w:tr>
        <w:trPr>
          <w:trHeight w:val="213"/>
        </w:trPr>
        <w:tc>
          <w:tcPr>
            <w:tcW w:w="3720" w:type="dxa"/>
            <w:vAlign w:val="bottom"/>
            <w:gridSpan w:val="2"/>
          </w:tcPr>
          <w:p>
            <w:pPr>
              <w:jc w:val="right"/>
              <w:ind w:right="160"/>
              <w:spacing w:after="0"/>
              <w:rPr>
                <w:sz w:val="20"/>
                <w:szCs w:val="20"/>
                <w:color w:val="auto"/>
              </w:rPr>
            </w:pPr>
            <w:r>
              <w:rPr>
                <w:rFonts w:ascii="Arial" w:cs="Arial" w:eastAsia="Arial" w:hAnsi="Arial"/>
                <w:sz w:val="16"/>
                <w:szCs w:val="16"/>
                <w:color w:val="auto"/>
              </w:rPr>
              <w:t>Nasdaq Composite Index $</w:t>
            </w:r>
          </w:p>
        </w:tc>
        <w:tc>
          <w:tcPr>
            <w:tcW w:w="84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107.50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132.51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179.19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257.38</w:t>
            </w:r>
          </w:p>
        </w:tc>
      </w:tr>
      <w:tr>
        <w:trPr>
          <w:trHeight w:val="219"/>
        </w:trPr>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Nasdaq Health Services Index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158.04</w:t>
            </w:r>
          </w:p>
        </w:tc>
      </w:tr>
    </w:tbl>
    <w:p>
      <w:pPr>
        <w:spacing w:after="0" w:line="296" w:lineRule="exact"/>
        <w:rPr>
          <w:sz w:val="20"/>
          <w:szCs w:val="20"/>
          <w:color w:val="auto"/>
        </w:rPr>
      </w:pPr>
    </w:p>
    <w:p>
      <w:pPr>
        <w:ind w:left="300" w:hanging="130"/>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invested on December 31, 2015 in stock or index, including reinvestment of dividends.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The selected consolidated financial data presented below should be read in conjunction with, and is qualified in its entirety by reference to, Management’s Discussion and Analysis of Financial Condition and Results of Operations and our consolidated financial statements and the Notes thereto appearing elsewhere in this Annual Report. The selected consolidated financial data for the years ended December 31, 2020, 2019 and 2018 reflect the adoption of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and the selected financial data for the year ended December 31, 2020 and 2019 reflect the adoption of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within the consolidated financial statements included in Item 8 of this report for further discussion on our accounting policies related to revenue and leases. The below periods include the results of operations from BioScrip, Inc. from the August 6, 2019 Merger Date onward.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Sheets Data: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Working capital (1) (2)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222,989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228,650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227,428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226,535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227,763</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2,647,439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2,589,547</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1,428,211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1,429,542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1,405,285</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2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1,124,353</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1,286,496</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539,375</w:t>
            </w:r>
          </w:p>
        </w:tc>
        <w:tc>
          <w:tcPr>
            <w:tcW w:w="3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540,346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541,500</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1,015,724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906,827</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602,825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606,105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600,770</w:t>
            </w:r>
          </w:p>
        </w:tc>
      </w:tr>
    </w:tbl>
    <w:p>
      <w:pPr>
        <w:spacing w:after="0" w:line="161"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consists of total current assets less total current liabilities.</w:t>
      </w:r>
    </w:p>
    <w:p>
      <w:pPr>
        <w:spacing w:after="0" w:line="184" w:lineRule="exact"/>
        <w:rPr>
          <w:rFonts w:ascii="Arial" w:cs="Arial" w:eastAsia="Arial" w:hAnsi="Arial"/>
          <w:sz w:val="18"/>
          <w:szCs w:val="18"/>
          <w:color w:val="auto"/>
        </w:rPr>
      </w:pPr>
    </w:p>
    <w:p>
      <w:pPr>
        <w:ind w:right="160" w:firstLine="332"/>
        <w:spacing w:after="0" w:line="263" w:lineRule="auto"/>
        <w:tabs>
          <w:tab w:leader="none" w:pos="5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Working capital and total assets for the year ended December 31, 2020 and 2019 reflect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are, therefore, not comparable to prior periods.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Item 8 of this report for further discussion on our accounting policies related to leases.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(1)</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5"/>
              </w:rPr>
              <w:t>2018</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Consolidated Statements of</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6"/>
                <w:szCs w:val="16"/>
                <w:color w:val="auto"/>
              </w:rPr>
              <w:t>Net revenue (2)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3,032,610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2,310,417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1,939,791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1,828,046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1,711,438</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682,264</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512,999</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422,215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445,999</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449,307</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110,755</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38,269</w:t>
            </w:r>
          </w:p>
        </w:tc>
        <w:tc>
          <w:tcPr>
            <w:tcW w:w="3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27,279</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52,448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(75,920)</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(6,115)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3,878</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6"/>
                <w:szCs w:val="16"/>
                <w:color w:val="auto"/>
              </w:rPr>
              <w:t>Net comprehensive (loss) income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(12,053)</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(83,959)</w:t>
            </w:r>
          </w:p>
        </w:tc>
        <w:tc>
          <w:tcPr>
            <w:tcW w:w="3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(5,341)</w:t>
            </w:r>
          </w:p>
        </w:tc>
        <w:tc>
          <w:tcPr>
            <w:tcW w:w="3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3,936</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166"/>
        </w:trPr>
        <w:tc>
          <w:tcPr>
            <w:tcW w:w="28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Net (loss) earnings per share, basic and</w:t>
            </w: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3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(0.04)</w:t>
            </w: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4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0" w:type="dxa"/>
            <w:vAlign w:val="bottom"/>
          </w:tcPr>
          <w:p>
            <w:pPr>
              <w:ind w:left="20"/>
              <w:spacing w:after="0" w:line="166" w:lineRule="exact"/>
              <w:rPr>
                <w:sz w:val="20"/>
                <w:szCs w:val="20"/>
                <w:color w:val="auto"/>
              </w:rPr>
            </w:pPr>
            <w:r>
              <w:rPr>
                <w:rFonts w:ascii="Arial" w:cs="Arial" w:eastAsia="Arial" w:hAnsi="Arial"/>
                <w:sz w:val="16"/>
                <w:szCs w:val="16"/>
                <w:color w:val="auto"/>
              </w:rPr>
              <w:t>Weighted average common shares</w:t>
            </w:r>
          </w:p>
        </w:tc>
        <w:tc>
          <w:tcPr>
            <w:tcW w:w="300" w:type="dxa"/>
            <w:vAlign w:val="bottom"/>
          </w:tcPr>
          <w:p>
            <w:pPr>
              <w:spacing w:after="0"/>
              <w:rPr>
                <w:sz w:val="14"/>
                <w:szCs w:val="14"/>
                <w:color w:val="auto"/>
              </w:rPr>
            </w:pPr>
          </w:p>
        </w:tc>
        <w:tc>
          <w:tcPr>
            <w:tcW w:w="1360" w:type="dxa"/>
            <w:vAlign w:val="bottom"/>
            <w:vMerge w:val="restart"/>
          </w:tcPr>
          <w:p>
            <w:pPr>
              <w:jc w:val="right"/>
              <w:ind w:right="38"/>
              <w:spacing w:after="0"/>
              <w:rPr>
                <w:sz w:val="20"/>
                <w:szCs w:val="20"/>
                <w:color w:val="auto"/>
              </w:rPr>
            </w:pPr>
            <w:r>
              <w:rPr>
                <w:rFonts w:ascii="Arial" w:cs="Arial" w:eastAsia="Arial" w:hAnsi="Arial"/>
                <w:sz w:val="16"/>
                <w:szCs w:val="16"/>
                <w:color w:val="auto"/>
              </w:rPr>
              <w:t>180,971</w:t>
            </w:r>
          </w:p>
        </w:tc>
        <w:tc>
          <w:tcPr>
            <w:tcW w:w="3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156,280</w:t>
            </w:r>
          </w:p>
        </w:tc>
        <w:tc>
          <w:tcPr>
            <w:tcW w:w="320" w:type="dxa"/>
            <w:vAlign w:val="bottom"/>
          </w:tcPr>
          <w:p>
            <w:pPr>
              <w:spacing w:after="0"/>
              <w:rPr>
                <w:sz w:val="14"/>
                <w:szCs w:val="14"/>
                <w:color w:val="auto"/>
              </w:rPr>
            </w:pPr>
          </w:p>
        </w:tc>
        <w:tc>
          <w:tcPr>
            <w:tcW w:w="1500" w:type="dxa"/>
            <w:vAlign w:val="bottom"/>
            <w:vMerge w:val="restart"/>
          </w:tcPr>
          <w:p>
            <w:pPr>
              <w:jc w:val="right"/>
              <w:ind w:right="99"/>
              <w:spacing w:after="0"/>
              <w:rPr>
                <w:sz w:val="20"/>
                <w:szCs w:val="20"/>
                <w:color w:val="auto"/>
              </w:rPr>
            </w:pPr>
            <w:r>
              <w:rPr>
                <w:rFonts w:ascii="Arial" w:cs="Arial" w:eastAsia="Arial" w:hAnsi="Arial"/>
                <w:sz w:val="16"/>
                <w:szCs w:val="16"/>
                <w:color w:val="auto"/>
              </w:rPr>
              <w:t>142,614</w:t>
            </w:r>
          </w:p>
        </w:tc>
        <w:tc>
          <w:tcPr>
            <w:tcW w:w="36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142,614</w:t>
            </w:r>
          </w:p>
        </w:tc>
        <w:tc>
          <w:tcPr>
            <w:tcW w:w="4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Arial" w:cs="Arial" w:eastAsia="Arial" w:hAnsi="Arial"/>
                <w:sz w:val="16"/>
                <w:szCs w:val="16"/>
                <w:color w:val="auto"/>
              </w:rPr>
              <w:t>outstanding, basic and diluted</w:t>
            </w: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2020 and 2019 include the results of operations of BioScrip from August 6, 2019 onward and are, therefore, not comparable to prior periods.</w:t>
      </w:r>
    </w:p>
    <w:p>
      <w:pPr>
        <w:spacing w:after="0" w:line="196" w:lineRule="exact"/>
        <w:rPr>
          <w:rFonts w:ascii="Arial" w:cs="Arial" w:eastAsia="Arial" w:hAnsi="Arial"/>
          <w:sz w:val="17"/>
          <w:szCs w:val="17"/>
          <w:color w:val="auto"/>
        </w:rPr>
      </w:pPr>
    </w:p>
    <w:p>
      <w:pPr>
        <w:ind w:right="20" w:firstLine="332"/>
        <w:spacing w:after="0" w:line="263" w:lineRule="auto"/>
        <w:tabs>
          <w:tab w:leader="none" w:pos="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Net revenue and gross profit for the years ended December 31, 2020, 2019 and 2018 reflect the adoption of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and are, therefore, not comparable to prior periods. See Note 2,</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included in Item 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 for further discussion on our accounting policies related to revenue.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02"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25"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145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4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Capital Market. Effective February 3, 2020, the Company was listed on the Nasdaq Global Select Market under the ticker symbol “OPCH”.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of the consolidated financial statements for further discussion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189"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w:t>
      </w:r>
    </w:p>
    <w:p>
      <w:pPr>
        <w:spacing w:after="0" w:line="11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relies upon patient referrals from multiple sources, including but not limited to patients discharged from acute care settings (e.g., hospitals) and patients requiring treatment for chronic conditions from specialty physicians. As expected, the pandemic has negatively affected new patient referrals for both acute and chronic conditions; however, the Company did experience an increase in patient transfers from hospital and outpatient settings which positively affected revenues. For the year ended December 31, 2020, the revenue results reflect flat acute revenues relative to the prior year while chronic revenue grew in the mid-teens. Option Care Health continues to collaborate with payers and health systems to transition patients into the home or one of our alternate treatment sites to receive vital infusion therapy.</w:t>
      </w:r>
    </w:p>
    <w:p>
      <w:pPr>
        <w:spacing w:after="0" w:line="13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 experienced cost inefficiencies during the year ended December 31, 2020 with respect to clinical labor and other staffing challenges, as well as higher costs to procure personal protection equipment. Offsetting the negative impacts resulting from the COVID-19 pandemic, the Company managed spending and accelerated many integration-related initiatives as discussed below. Further, to date, the Company experienced no material deceleration in cash collections and collaboration with payers continues to be productive. The Company anticipates that the pandemic could affect its operations for an extended period; however, at this time it cannot confidently forecast the duration nor the ultimate financial impact on its operations. See Item 1A. “Risk Factors” under the caption “The COVID-19 pandemic could adversely impact our business, results of operations, cash flows and financial position” for further discussion of risks.</w:t>
      </w:r>
    </w:p>
    <w:p>
      <w:pPr>
        <w:spacing w:after="0" w:line="15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April 2020, the Company received approximately $11.7 million from the Public Health and Social Services Emergency Fund as part of the Coronavirus Aid, Relief, and Economics Security Act (“CARES Act”). The $11.7 million was reflected in the second quarter 2020 as a cash inflow from financing activities. Given the Company’s ability to largely offset the cost inefficiencies experienced from the COVID-19 pandemic with spending reductions and accelerated integration net cost synergies, the Company returned these CARES Act funds to the federal government during the third quarter of 2020. This was reflected as a cash outflow from financing activities during the third quarter of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Integration Execution</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Merger of Option Care and BioScrip into Option Care Health has created an opportunity to realize cost synergies while continuing to drive organic growth in chronic and acute therapies through our expanded national platform. Option Care Health is well-positioned to leverage the investments in corporate infrastructure and drive economies of scale as a result of the Merger. The synergy categories are as follows:</w:t>
      </w:r>
    </w:p>
    <w:p>
      <w:pPr>
        <w:spacing w:after="0" w:line="125" w:lineRule="exact"/>
        <w:rPr>
          <w:sz w:val="20"/>
          <w:szCs w:val="20"/>
          <w:color w:val="auto"/>
        </w:rPr>
      </w:pPr>
    </w:p>
    <w:p>
      <w:pPr>
        <w:ind w:left="1300" w:right="820" w:hanging="320"/>
        <w:spacing w:after="0" w:line="258"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Expenses Savings. Merged corporate infrastructure has created significant opportunity for streamlining corporate and administrative costs, including headcount and functional spend.</w:t>
      </w:r>
    </w:p>
    <w:p>
      <w:pPr>
        <w:spacing w:after="0" w:line="1" w:lineRule="exact"/>
        <w:rPr>
          <w:rFonts w:ascii="Arial" w:cs="Arial" w:eastAsia="Arial" w:hAnsi="Arial"/>
          <w:sz w:val="18"/>
          <w:szCs w:val="18"/>
          <w:color w:val="auto"/>
        </w:rPr>
      </w:pPr>
    </w:p>
    <w:p>
      <w:pPr>
        <w:ind w:left="1300" w:right="280" w:hanging="320"/>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Network Optimization. The previous investments in technology and compounding pharmacies, along with the overlapping geographic footprint, allow for facility rationalization and the optimization of assets.</w:t>
      </w:r>
    </w:p>
    <w:p>
      <w:pPr>
        <w:ind w:left="1300" w:right="160" w:hanging="320"/>
        <w:spacing w:after="0" w:line="255"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Procurement Savings. The enhanced scale of the Company generates supply chain efficiencies through increased purchasing leverage. The Company’s platform is also positioned to be the partner of choice for pharmaceutical manufacturers seeking innovative distribution channels and patient support models to access the market.</w:t>
      </w:r>
    </w:p>
    <w:p>
      <w:pPr>
        <w:spacing w:after="0" w:line="16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Since the Merger, we have worked to align our field and sales teams. We have also made strides at combining our procurement process and contracts, all while continuing to focus on serving our patients. Patient health is personal to us, which is why, throughout the integration process, we strive to improve and set the standard for quality care that is matched by best-in-class service. After completion of the Merger, we have additional resources to invest in our people, processes and systems, providing us improved strength and scale to drive better patient outcomes. The Company accelerated its integration activities during the second quarter of 2020 to offset the negative impacts resulting from COVID-19 pandemic, and as a result we fully achieved the articulated goal of at least $60 million in net cost 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Medicare Reimbursement</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recent years, legislative changes have resulted in reductions in reimbursement under government healthcare programs. In December 2016, the Cures Act legislation was signed into law, which decreased reimbursement for Medicare Part B Durable Medical Equipment infusion drugs administered in an alternate site setting effective January 1, 2017. The original legislation did not provide for reimbursement for the service component until 2021. Center for Medicare and Medicaid Services issued a final rule in October 2018 implementing a temporary transition benefit for Medicare Part B home infusion services, which will continue from January 1, 2019 until January 1, 2021. This temporary transition benefit defines professional services as only including nursing, and not pharmacy, care planning, care coordination, or monitoring, and only pays for an infusion day when the nurse is in the home.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Option Care merged with BioScrip on August 6, 2019. BioScrip was a national provider of infusion and home care management, who partnered with physicians, hospital systems, payers, pharmaceutical manufacturers and skilled nursing facilities to provide patients access to post-acute care services. The fair value of purchase consideration transferred, net of cash acquired, on the closing date of $1,087.2 million includes the value of the number of shares of the combined company to be owned by BioScrip shareholders at closing of the Merger, the value of common shares to be issued to certain warrant and preferred shareholders in conjunction with the Merger, the value of stock-based instruments that were vested or earned as of the Merger, and cash payments made in conjunction with the Merger. On February 3, 2020, the Company completed a one share for four reverse stock split.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consolidated financial statements, which was retrospectively applied to all periods presented in the consolidated financial statements. For additional information on this Merger,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results of operations include the accounts of Option Care Health and our subsidiaries for the years ended December 31, 2020 and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BioScrip results have been included since the August 6, 2019 Merger Date.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8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57"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6"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0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consists principally of interest payments on the Company’s outstanding borrowings under the First Lien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 and Second Lien Notes, amortization of discount and deferred financing fees and changes in derivatives not designated as hedging instruments related to the interest rate swaps. Refer to the “Liquidity and Capital Resources” section below for further discussion of these outstanding borrowings.</w:t>
      </w:r>
    </w:p>
    <w:p>
      <w:pPr>
        <w:spacing w:after="0" w:line="10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4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current year loss on extinguishment of debt incurred in connection with 2020 debt prepayments.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amounts relate to third-party fees paid in conjunction with our 2019 debt issuance of the Loan Facilities and Second Lien Notes and loss on extinguishment of debt for the Company’s Previous Credit Facilities.</w:t>
      </w:r>
    </w:p>
    <w:p>
      <w:pPr>
        <w:spacing w:after="0" w:line="14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reflective of the current federal tax rates.</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i w:val="1"/>
          <w:iCs w:val="1"/>
          <w:color w:val="auto"/>
        </w:rPr>
        <w:t>Change in unrealized (losses) gains on cash flow hedges, net of income taxes</w:t>
      </w:r>
      <w:r>
        <w:rPr>
          <w:rFonts w:ascii="Arial" w:cs="Arial" w:eastAsia="Arial" w:hAnsi="Arial"/>
          <w:sz w:val="18"/>
          <w:szCs w:val="18"/>
          <w:color w:val="auto"/>
        </w:rPr>
        <w:t>. Change in unrealized (losses) gains on cash flow hedges, net of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consists of the gains and losses associated with the changes in the fair value of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following table presents Option Care Health’s consolidated results of operations for the years ended December 31, 2020 and 2019 (in thousands). For discussion of Option Care Health’s consolidated results of operations for the year ended December 31, 2019 compared to 2018, refer to Part II, Item 7, “Management’s Discussion and Analysis of Financial Condition and Results of Operations” in our 2019 Annual Report on 10-K filed with the Securities and Exchange Commission on March 5, 2020.</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of Revenue</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3,032,610</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2,310,417</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100.0%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2,350,346</w:t>
            </w:r>
          </w:p>
        </w:tc>
        <w:tc>
          <w:tcPr>
            <w:tcW w:w="14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2"/>
              </w:rPr>
              <w:t>77.5%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1,797,418</w:t>
            </w:r>
          </w:p>
        </w:tc>
        <w:tc>
          <w:tcPr>
            <w:tcW w:w="14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77.8%</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682,264</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512,999</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22.2%</w:t>
            </w: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500,199</w:t>
            </w:r>
          </w:p>
        </w:tc>
        <w:tc>
          <w:tcPr>
            <w:tcW w:w="144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459,628</w:t>
            </w:r>
          </w:p>
        </w:tc>
        <w:tc>
          <w:tcPr>
            <w:tcW w:w="1460" w:type="dxa"/>
            <w:vAlign w:val="bottom"/>
            <w:gridSpan w:val="2"/>
          </w:tcPr>
          <w:p>
            <w:pPr>
              <w:jc w:val="center"/>
              <w:spacing w:after="0"/>
              <w:rPr>
                <w:sz w:val="20"/>
                <w:szCs w:val="20"/>
                <w:color w:val="auto"/>
              </w:rPr>
            </w:pPr>
            <w:r>
              <w:rPr>
                <w:rFonts w:ascii="Arial" w:cs="Arial" w:eastAsia="Arial" w:hAnsi="Arial"/>
                <w:sz w:val="16"/>
                <w:szCs w:val="16"/>
                <w:color w:val="auto"/>
                <w:w w:val="92"/>
              </w:rPr>
              <w:t>19.9%</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53,690</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571,509</w:t>
            </w:r>
          </w:p>
        </w:tc>
        <w:tc>
          <w:tcPr>
            <w:tcW w:w="14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2"/>
              </w:rPr>
              <w:t>18.8%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513,318</w:t>
            </w:r>
          </w:p>
        </w:tc>
        <w:tc>
          <w:tcPr>
            <w:tcW w:w="14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22.2%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110,755</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(107,770)</w:t>
            </w:r>
          </w:p>
        </w:tc>
        <w:tc>
          <w:tcPr>
            <w:tcW w:w="144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(73,724)</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(3.2)%</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0.1%</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4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7"/>
              </w:rPr>
              <w:t>(0.4)%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14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3"/>
              </w:rPr>
              <w:t>(0.3)%</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(77,875)</w:t>
            </w:r>
          </w:p>
        </w:tc>
        <w:tc>
          <w:tcPr>
            <w:tcW w:w="14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(78,194)</w:t>
            </w:r>
          </w:p>
        </w:tc>
        <w:tc>
          <w:tcPr>
            <w:tcW w:w="14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14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3"/>
              </w:rPr>
              <w:t>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14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3"/>
              </w:rPr>
              <w:t>(0.1)%</w:t>
            </w:r>
          </w:p>
        </w:tc>
        <w:tc>
          <w:tcPr>
            <w:tcW w:w="0" w:type="dxa"/>
            <w:vAlign w:val="bottom"/>
          </w:tcPr>
          <w:p>
            <w:pPr>
              <w:spacing w:after="0"/>
              <w:rPr>
                <w:sz w:val="1"/>
                <w:szCs w:val="1"/>
                <w:color w:val="auto"/>
              </w:rPr>
            </w:pPr>
          </w:p>
        </w:tc>
      </w:tr>
      <w:tr>
        <w:trPr>
          <w:trHeight w:val="23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4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40"/>
              <w:spacing w:after="0" w:line="166" w:lineRule="exact"/>
              <w:rPr>
                <w:sz w:val="20"/>
                <w:szCs w:val="20"/>
                <w:color w:val="auto"/>
              </w:rPr>
            </w:pPr>
            <w:r>
              <w:rPr>
                <w:rFonts w:ascii="Arial" w:cs="Arial" w:eastAsia="Arial" w:hAnsi="Arial"/>
                <w:sz w:val="16"/>
                <w:szCs w:val="16"/>
                <w:color w:val="auto"/>
                <w:w w:val="92"/>
              </w:rPr>
              <w:t>Change in unrealized losses on cash flow hedges, net of income taxes of $0 and</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14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7"/>
              </w:rPr>
              <w:t>(0.1)%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(8,039)</w:t>
            </w:r>
          </w:p>
        </w:tc>
        <w:tc>
          <w:tcPr>
            <w:tcW w:w="14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3"/>
              </w:rPr>
              <w:t>(0.3)%</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$259, respectively</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4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(0.3)%</w:t>
            </w: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Arial" w:cs="Arial" w:eastAsia="Arial" w:hAnsi="Arial"/>
                <w:sz w:val="16"/>
                <w:szCs w:val="16"/>
                <w:color w:val="auto"/>
              </w:rPr>
              <w:t>NET COMPREHENSIVE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(12,053)</w:t>
            </w:r>
          </w:p>
        </w:tc>
        <w:tc>
          <w:tcPr>
            <w:tcW w:w="144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(83,959)</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0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2020 includes the results of operations from BioScrip for the full year. 2019 includes the results of operations of BioScrip from the August 6, 2019 Merger Date onward and are, therefore, not comparable.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selected consolidated comparative results of operations for the years ended December 31, 2020 and 2019:</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Borders>
              <w:bottom w:val="single" w:sz="8" w:color="auto"/>
            </w:tcBorders>
          </w:tcPr>
          <w:p>
            <w:pPr>
              <w:spacing w:after="0"/>
              <w:rPr>
                <w:sz w:val="18"/>
                <w:szCs w:val="18"/>
                <w:color w:val="auto"/>
              </w:rPr>
            </w:pPr>
          </w:p>
        </w:tc>
      </w:tr>
      <w:tr>
        <w:trPr>
          <w:trHeight w:val="210"/>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Variance</w:t>
            </w:r>
          </w:p>
        </w:tc>
        <w:tc>
          <w:tcPr>
            <w:tcW w:w="680" w:type="dxa"/>
            <w:vAlign w:val="bottom"/>
            <w:tcBorders>
              <w:bottom w:val="single" w:sz="8" w:color="auto"/>
            </w:tcBorders>
          </w:tcPr>
          <w:p>
            <w:pPr>
              <w:spacing w:after="0"/>
              <w:rPr>
                <w:sz w:val="18"/>
                <w:szCs w:val="18"/>
                <w:color w:val="auto"/>
              </w:rPr>
            </w:pPr>
          </w:p>
        </w:tc>
      </w:tr>
      <w:tr>
        <w:trPr>
          <w:trHeight w:val="247"/>
        </w:trPr>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6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680" w:type="dxa"/>
            <w:vAlign w:val="bottom"/>
          </w:tcPr>
          <w:p>
            <w:pPr>
              <w:spacing w:after="0"/>
              <w:rPr>
                <w:sz w:val="21"/>
                <w:szCs w:val="21"/>
                <w:color w:val="auto"/>
              </w:rPr>
            </w:pPr>
          </w:p>
        </w:tc>
      </w:tr>
      <w:tr>
        <w:trPr>
          <w:trHeight w:val="219"/>
        </w:trPr>
        <w:tc>
          <w:tcPr>
            <w:tcW w:w="346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3,032,610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2,310,417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722,193</w:t>
            </w: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31.3 %</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2,350,346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1,797,418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552,928</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30.8 %</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682,264</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512,999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169,265</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33.0 %</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31.3% increase in net revenue was primarily driven by additional revenue following the Merger, as the prior year included the results of BioScrip from the August 6, 2019 Merger Date, along with organic growth in the Company’s portfolio of therapies. For the year ended December 31, 2020, the revenue results reflect flat revenues for acute therapies relative to the prior year due to the impact of the COVID-19 pandemic, while revenue for chronic therapies grew in the mid-teens. The increase in cost of revenue was driven by the impact of the Merger and revenue growth. The increase in gross profit was primarily related to contribution margin from additional revenue from the Merger. The slight increase in gross profit margin was primarily driven by the positive impact from the merger integration net cost synergies, partially offset by the incremental wage costs and personal protective equipment costs related to the COVID-19 pandemic and mix shift toward lower profit chronic therapies.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Borders>
              <w:bottom w:val="single" w:sz="8" w:color="auto"/>
            </w:tcBorders>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Variance</w:t>
            </w:r>
          </w:p>
        </w:tc>
        <w:tc>
          <w:tcPr>
            <w:tcW w:w="680" w:type="dxa"/>
            <w:vAlign w:val="bottom"/>
            <w:tcBorders>
              <w:bottom w:val="single" w:sz="8" w:color="auto"/>
            </w:tcBorders>
          </w:tcPr>
          <w:p>
            <w:pPr>
              <w:spacing w:after="0"/>
              <w:rPr>
                <w:sz w:val="18"/>
                <w:szCs w:val="18"/>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36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40" w:type="dxa"/>
            <w:vAlign w:val="bottom"/>
            <w:gridSpan w:val="7"/>
            <w:shd w:val="clear" w:color="auto" w:fill="CCEEFF"/>
          </w:tcPr>
          <w:p>
            <w:pPr>
              <w:jc w:val="center"/>
              <w:ind w:right="42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680" w:type="dxa"/>
            <w:vAlign w:val="bottom"/>
            <w:shd w:val="clear" w:color="auto" w:fill="CCEEFF"/>
          </w:tcPr>
          <w:p>
            <w:pPr>
              <w:spacing w:after="0"/>
              <w:rPr>
                <w:sz w:val="18"/>
                <w:szCs w:val="18"/>
                <w:color w:val="auto"/>
              </w:rPr>
            </w:pP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500,199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459,628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40,571</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6"/>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17,620</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32.8 %</w:t>
            </w: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571,509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513,318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58,191</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0"/>
        </w:trPr>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Selling, general and administrative expenses increased for the year ended December 31, 2020 primarily due to the impact of the Merger, but has decreased as a percentage of revenue to 16.5% for the year ended December 31, 2020 as compared to 19.9% for the year ended December 31, 2019 primarily due to synergy realization from Merger integration activities as well as spending reductions to offset the negative impacts of the COVID-19 pandemic.</w:t>
      </w:r>
    </w:p>
    <w:p>
      <w:pPr>
        <w:spacing w:after="0" w:line="16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deprecation of fixed assets acquired and the amortization of intangibles acquired from the Merger along with depreciation of additional investments in our pharmacies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Borders>
              <w:bottom w:val="single" w:sz="8" w:color="auto"/>
            </w:tcBorders>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Variance</w:t>
            </w:r>
          </w:p>
        </w:tc>
        <w:tc>
          <w:tcPr>
            <w:tcW w:w="680" w:type="dxa"/>
            <w:vAlign w:val="bottom"/>
            <w:tcBorders>
              <w:bottom w:val="single" w:sz="8" w:color="auto"/>
            </w:tcBorders>
          </w:tcPr>
          <w:p>
            <w:pPr>
              <w:spacing w:after="0"/>
              <w:rPr>
                <w:sz w:val="18"/>
                <w:szCs w:val="18"/>
                <w:color w:val="auto"/>
              </w:rPr>
            </w:pPr>
          </w:p>
        </w:tc>
      </w:tr>
      <w:tr>
        <w:trPr>
          <w:trHeight w:val="247"/>
        </w:trPr>
        <w:tc>
          <w:tcPr>
            <w:tcW w:w="3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40" w:type="dxa"/>
            <w:vAlign w:val="bottom"/>
            <w:gridSpan w:val="7"/>
          </w:tcPr>
          <w:p>
            <w:pPr>
              <w:jc w:val="center"/>
              <w:ind w:right="44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680" w:type="dxa"/>
            <w:vAlign w:val="bottom"/>
          </w:tcPr>
          <w:p>
            <w:pPr>
              <w:spacing w:after="0"/>
              <w:rPr>
                <w:sz w:val="21"/>
                <w:szCs w:val="2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(107,770)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(73,724)</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(34,046)</w:t>
            </w: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46.2 %</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joint ventures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1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w:t>
            </w:r>
          </w:p>
        </w:tc>
        <w:tc>
          <w:tcPr>
            <w:tcW w:w="6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65.1 %</w:t>
            </w:r>
          </w:p>
        </w:tc>
      </w:tr>
      <w:tr>
        <w:trPr>
          <w:trHeight w:val="232"/>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(38,123)</w:t>
            </w:r>
          </w:p>
        </w:tc>
        <w:tc>
          <w:tcPr>
            <w:tcW w:w="6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 xml:space="preserve">The increase in interest expense was primarily attributable to the additional expense related to the new debt issued at the close of the Merger, partially offset by the savings from the combined $174.0 million prepayment of principal on the Second Lien Notes in the third and fourth quarters of 2020. The prior year included interest expense on the new debt from the Merger Date. See Note 11, </w:t>
      </w:r>
      <w:r>
        <w:rPr>
          <w:rFonts w:ascii="Arial" w:cs="Arial" w:eastAsia="Arial" w:hAnsi="Arial"/>
          <w:sz w:val="16"/>
          <w:szCs w:val="16"/>
          <w:i w:val="1"/>
          <w:iCs w:val="1"/>
          <w:color w:val="auto"/>
        </w:rPr>
        <w:t>Indebtedness</w:t>
      </w:r>
      <w:r>
        <w:rPr>
          <w:rFonts w:ascii="Arial" w:cs="Arial" w:eastAsia="Arial" w:hAnsi="Arial"/>
          <w:sz w:val="16"/>
          <w:szCs w:val="16"/>
          <w:color w:val="auto"/>
        </w:rPr>
        <w:t>, of the consolidated financial statements.</w:t>
      </w:r>
    </w:p>
    <w:p>
      <w:pPr>
        <w:spacing w:after="0" w:line="10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increase in other, net of was the result of the loss on extinguishment of debt of $11.5 million incurred during the year ended December 31, 2020 in conjunction with the $174.0 million prepayment of principal on the Second Lien Notes, compared to the loss on extinguishment of debt of $5.5 million incurred during the year ended December 31, 2019 in conjunction with the extinguishment of debt related to the Merger.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579"/>
              <w:spacing w:after="0"/>
              <w:rPr>
                <w:sz w:val="20"/>
                <w:szCs w:val="20"/>
                <w:color w:val="auto"/>
              </w:rPr>
            </w:pPr>
            <w:r>
              <w:rPr>
                <w:rFonts w:ascii="Arial" w:cs="Arial" w:eastAsia="Arial" w:hAnsi="Arial"/>
                <w:sz w:val="16"/>
                <w:szCs w:val="16"/>
                <w:b w:val="1"/>
                <w:bCs w:val="1"/>
                <w:color w:val="auto"/>
                <w:w w:val="91"/>
              </w:rPr>
              <w:t>Year Ended December 31,</w:t>
            </w:r>
          </w:p>
        </w:tc>
        <w:tc>
          <w:tcPr>
            <w:tcW w:w="760" w:type="dxa"/>
            <w:vAlign w:val="bottom"/>
            <w:tcBorders>
              <w:bottom w:val="single" w:sz="8" w:color="auto"/>
            </w:tcBorders>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47"/>
        </w:trPr>
        <w:tc>
          <w:tcPr>
            <w:tcW w:w="3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98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88"/>
              </w:rPr>
              <w:t>(in thousands, except for percentages)</w:t>
            </w:r>
          </w:p>
        </w:tc>
        <w:tc>
          <w:tcPr>
            <w:tcW w:w="760" w:type="dxa"/>
            <w:vAlign w:val="bottom"/>
          </w:tcPr>
          <w:p>
            <w:pPr>
              <w:spacing w:after="0"/>
              <w:rPr>
                <w:sz w:val="21"/>
                <w:szCs w:val="2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2,833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39"/>
              <w:spacing w:after="0"/>
              <w:rPr>
                <w:sz w:val="20"/>
                <w:szCs w:val="20"/>
                <w:color w:val="auto"/>
              </w:rPr>
            </w:pPr>
            <w:r>
              <w:rPr>
                <w:rFonts w:ascii="Arial" w:cs="Arial" w:eastAsia="Arial" w:hAnsi="Arial"/>
                <w:sz w:val="16"/>
                <w:szCs w:val="16"/>
                <w:color w:val="auto"/>
              </w:rPr>
              <w:t>5,107</w:t>
            </w:r>
          </w:p>
        </w:tc>
        <w:tc>
          <w:tcPr>
            <w:tcW w:w="760" w:type="dxa"/>
            <w:vAlign w:val="bottom"/>
          </w:tcPr>
          <w:p>
            <w:pPr>
              <w:jc w:val="right"/>
              <w:spacing w:after="0"/>
              <w:rPr>
                <w:sz w:val="20"/>
                <w:szCs w:val="20"/>
                <w:color w:val="auto"/>
              </w:rPr>
            </w:pPr>
            <w:r>
              <w:rPr>
                <w:rFonts w:ascii="Arial" w:cs="Arial" w:eastAsia="Arial" w:hAnsi="Arial"/>
                <w:sz w:val="16"/>
                <w:szCs w:val="16"/>
                <w:color w:val="auto"/>
              </w:rPr>
              <w:t>(224.6)%</w:t>
            </w:r>
          </w:p>
        </w:tc>
      </w:tr>
    </w:tbl>
    <w:p>
      <w:pPr>
        <w:spacing w:after="0" w:line="16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Company’s tax expense for the year ended December 31, 2020 is comprised of a change in deferred tax assets and liabilities, partially offset by a change in valuation allowance, and state tax liabilities, resulting in a negative effective tax rate of 54.0%. The Company’s tax benefit for the year ended December 31, 2019 is comprised of a deferred tax benefit partially offset by a change in valuation allowance and state tax liabilities. This results in an effective tax rate of 2.9% for the year ended December 31, 2019. These effective tax rates differ from the Company’s 21% federal statutory rate primarily due to a change in valuation allowance, certain state and local taxes and non-deductible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and Other Comprehensive Loss</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(8,076)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(75,920)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67,844</w:t>
            </w: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680" w:type="dxa"/>
            <w:vAlign w:val="bottom"/>
          </w:tcPr>
          <w:p>
            <w:pPr>
              <w:ind w:left="100"/>
              <w:spacing w:after="0" w:line="166" w:lineRule="exact"/>
              <w:rPr>
                <w:sz w:val="20"/>
                <w:szCs w:val="20"/>
                <w:color w:val="auto"/>
              </w:rPr>
            </w:pPr>
            <w:r>
              <w:rPr>
                <w:rFonts w:ascii="Arial" w:cs="Arial" w:eastAsia="Arial" w:hAnsi="Arial"/>
                <w:sz w:val="16"/>
                <w:szCs w:val="16"/>
                <w:color w:val="auto"/>
                <w:w w:val="91"/>
              </w:rPr>
              <w:t>Changes in unrealized losses on cash flow hedges, net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(8,039)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4,062</w:t>
            </w:r>
          </w:p>
        </w:tc>
        <w:tc>
          <w:tcPr>
            <w:tcW w:w="5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2"/>
        </w:trPr>
        <w:tc>
          <w:tcPr>
            <w:tcW w:w="3680" w:type="dxa"/>
            <w:vAlign w:val="bottom"/>
          </w:tcPr>
          <w:p>
            <w:pPr>
              <w:ind w:left="20"/>
              <w:spacing w:after="0"/>
              <w:rPr>
                <w:sz w:val="20"/>
                <w:szCs w:val="20"/>
                <w:color w:val="auto"/>
              </w:rPr>
            </w:pPr>
            <w:r>
              <w:rPr>
                <w:rFonts w:ascii="Arial" w:cs="Arial" w:eastAsia="Arial" w:hAnsi="Arial"/>
                <w:sz w:val="16"/>
                <w:szCs w:val="16"/>
                <w:color w:val="auto"/>
              </w:rPr>
              <w:t>Net comprehensive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(12,053)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(83,959)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71,906</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Net loss decreased primarily driven by the growth in gross profit, which more than offset the incremental operating expenses and interest expense incurred in conjunction with the Merger. The decrease in net loss is also impacted by the full realization of $60 million of Merger synergies in 2020 following the Merger, which more than offset the negative impacts of the COVID-19 pandemic during 2020.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unrealized losses on cash flow hedges, net of income taxes, decreased as the interest rate swap nears maturity in August 2021.</w:t>
      </w:r>
    </w:p>
    <w:p>
      <w:pPr>
        <w:spacing w:after="0" w:line="19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comprehensive loss decreased for the year ended December 31, 2020 as a result of the changes in net loss, discussed above, further reduced by the impact of the hedging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years ended December 31, 2020 and 2019, the Company’s primary sources of liquidity were cash on hand of $99.3 million and $67.1 million, respectively, as well as borrowings under its credit facilities, described further below. During the years ended December 31, 2020 and 2019, the Company’s positive cash flows from operations have enabled investments in pharmacy and information technology infrastructure to support growth and create additional capacity in the future, as well as pursue acquisitions.</w:t>
      </w:r>
    </w:p>
    <w:p>
      <w:pPr>
        <w:spacing w:after="0" w:line="14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Company’s primary uses of cash include supporting our ongoing business activities, integration efforts, and investment in various acquisitions and our infrastructure to support additional business volumes. Ongoing operating cash outflows are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In addition to these ongoing investing and financing activities, during the year ended December 31, 2020, the Company prepaid $174.0 million of outstanding debt principal balance. During the year ended December 31, 2019, the Company entered into the Merger Agreement, and the Merger resulted in cash used in investing activities of $700.2 million and net cash provided by financing activities for net proceeds of indebtedness of $724.3 million.</w:t>
      </w:r>
    </w:p>
    <w:p>
      <w:pPr>
        <w:spacing w:after="0" w:line="125"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8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During 2015, Option Care entered into two credit arrangements administered by Bank of America, N.A. and U.S. Bank. The agreements provided for up to $645.0 million in senior secured credit facilities through an $80.0 million revolving credit facility (the “Previous Revolving Credit Facility”), a $415.0 million first lien term loan (the “Previous First Lien Term Loan”), and a $150.0 million second lien term loan (the “Previous Second Lien Term Loan”, and together with the Previous First Lien Term Loan, the “Previous Term Loans”, and the Previous Term Loans, together with the Previous Revolving Credit Facility, the “Previous Credit Facilities”). Amounts borrowed under the credit agreements were secured by substantially all of the assets of the Company.</w:t>
      </w:r>
    </w:p>
    <w:p>
      <w:pPr>
        <w:spacing w:after="0" w:line="165"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On August 6, 2019, the Company repaid the outstanding balance of the Previous Term Loans and retired the outstanding credit arrangements for $551.7 million. Proceeds of $575.0 million from the two new credit arrangements and indenture, discussed below, were also used, in part, to repay the outstanding debt of BioScrip as of the Merger.</w:t>
      </w:r>
    </w:p>
    <w:p>
      <w:pPr>
        <w:spacing w:after="0" w:line="14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conjunction with the Merger, the Company entered into two credit agreements and an indenture that initially provided for up to $1,475.0 million in senior secured credit facilities through a $150.0 million asset-based lending revolving credit facility (the “ABL Facility”), a $925.0 million first lien term loan facility (the “First Lien Term Loan”, and together with the ABL Facility, the “Loan Facilities”), and a $400.0 million senior secured second lien PIK toggle floating rate notes due 2027 (the “Second Lien Notes”). Amounts borrowed under the credit agreements are secured by substantially all of the assets of the Company.</w:t>
      </w:r>
    </w:p>
    <w:p>
      <w:pPr>
        <w:spacing w:after="0" w:line="14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ABL Facility credit agreement initially provided for borrowings up to $150.0 million, and matures on August 6, 2024. During the year ended December 31, 2020, the Company increased the borrowing capacity to $175.0 million.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ranging from 0.25% to 0.375%, depending on various factors including the Company’s leverage ratio, type of loan and rate type, and letter of credit fees of 2.50%. The Company did not borrow against the ABL Facility at any time during 2020, and had no outstanding borrowings under the ABL Facility at December 31, 2020. The Company had $9.6 million of undrawn letters of credit issued and outstanding, resulting in net borrowing availability under the ABL of $165.4 million as of December 31, 2020.</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balance of the First Lien Term Loan is repayable in quarterly installments of $2.3 million plus interest, with a final payment of all remaining outstanding principal due on August 6, 2026. The quarterly principal payments commenced in March of 2020.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4.40% as of December 31, 2020.</w:t>
      </w:r>
    </w:p>
    <w:p>
      <w:pPr>
        <w:spacing w:after="0" w:line="1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Second Lien Notes mature on August 6, 2027. Interest on the Second Lien Notes is payable quarterly at LIBOR, plus 8.75%. The Company elected to pay-in-kind the quarterly interest payment due in November 2019, which resulted in the Company capitalizing the interest payment to the principal balance on the interest payment date. The Company paid the second and third quarterly interest payments, due in February 2020 and May 2020. The Company elected to pay-in-kind the quarterly interest payment due in August 2020, which resulted in the Company capitalizing the interest payment to the principal balance on the interest payment date. In August 2020, the Company used the proceeds from a stock offering to prepay $125.0 million of the outstanding principal balance. In December 2020, the Company utilized available cash on hand to prepay an additional $49.0 million of the outstanding principal balance. As a result of these actions, the outstanding principal balance of the Second Lien Notes is $245.8 million as of December 31, 2020. The interest rate on the Second Lien Notes was 8.98% as of December 31, 2020.</w:t>
      </w:r>
    </w:p>
    <w:p>
      <w:pPr>
        <w:spacing w:after="0" w:line="1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remaining outstanding principal due on August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9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selected data from Option Care Health’s consolidated statements of cash flows for the years ended December 31, 2020 and 2019:</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w w:val="91"/>
              </w:rPr>
              <w:t>Year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Variance</w:t>
            </w:r>
          </w:p>
        </w:tc>
      </w:tr>
      <w:tr>
        <w:trPr>
          <w:trHeight w:val="247"/>
        </w:trPr>
        <w:tc>
          <w:tcPr>
            <w:tcW w:w="4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(in thousands)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45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127,392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39,467</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87,925</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701,492</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(68,849)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(787,873)</w:t>
            </w: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30,665</w:t>
            </w:r>
          </w:p>
        </w:tc>
      </w:tr>
      <w:tr>
        <w:trPr>
          <w:trHeight w:val="23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increase in cash provided by operating activities for the year ended December 31, 2020 was primarily driven by the improvement in net loss during 2020. In addition, working capital efficiencies also contributed to this increase, as additional investment in accounts receivable and inventories in conjunction with the growth in business volumes were more than offset by increases in accounts payable due to the timing of vendor 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used in investing activities is primarily due to the Merger completed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decrease in cash (used in) provided by financing activities is related to the prior year proceeds from the issuance of new debt of $981.1 million, which was partially offset by the retirement of the Company’s previous debt of $226.7 million and the payment of deferred financing costs of $30.0 million related to the Merger. In 2020, the cash used in financing activities consisted of the $174.0 million prepayment of the Second Lien Notes, which was partially offset by $118.9 million of proceeds from the issuance of common stock, as well as principal payments on the First Lien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18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Option Care Health’s commitments and contractual obligations as of December 31, 2020, as well as its long-term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6"/>
                <w:szCs w:val="16"/>
                <w:b w:val="1"/>
                <w:bCs w:val="1"/>
                <w:color w:val="auto"/>
                <w:w w:val="90"/>
              </w:rPr>
              <w:t>Payments Due by Period</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4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9"/>
              </w:rPr>
              <w:t>Total</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Less than 1</w:t>
            </w:r>
          </w:p>
        </w:tc>
        <w:tc>
          <w:tcPr>
            <w:tcW w:w="100" w:type="dxa"/>
            <w:vAlign w:val="bottom"/>
          </w:tcPr>
          <w:p>
            <w:pPr>
              <w:spacing w:after="0"/>
              <w:rPr>
                <w:sz w:val="13"/>
                <w:szCs w:val="13"/>
                <w:color w:val="auto"/>
              </w:rPr>
            </w:pPr>
          </w:p>
        </w:tc>
        <w:tc>
          <w:tcPr>
            <w:tcW w:w="10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1 - 3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5"/>
              </w:rPr>
              <w:t>3-5 years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5"/>
              </w:rPr>
              <w:t>More than 5</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2"/>
              </w:rPr>
              <w:t>(in thousands)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1,161,531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1,115,281</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payments on long-term debt obligations </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391,301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124,840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80,231</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obligations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30,168</w:t>
            </w:r>
          </w:p>
        </w:tc>
        <w:tc>
          <w:tcPr>
            <w:tcW w:w="0" w:type="dxa"/>
            <w:vAlign w:val="bottom"/>
          </w:tcPr>
          <w:p>
            <w:pPr>
              <w:spacing w:after="0"/>
              <w:rPr>
                <w:sz w:val="1"/>
                <w:szCs w:val="1"/>
                <w:color w:val="auto"/>
              </w:rPr>
            </w:pPr>
          </w:p>
        </w:tc>
      </w:tr>
      <w:tr>
        <w:trPr>
          <w:trHeight w:val="212"/>
        </w:trPr>
        <w:tc>
          <w:tcPr>
            <w:tcW w:w="4920" w:type="dxa"/>
            <w:vAlign w:val="bottom"/>
          </w:tcPr>
          <w:p>
            <w:pPr>
              <w:ind w:left="14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1,662,843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96,059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162,744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1,225,680</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aggregate principal payment on the indebtedness from the First Lien Term Loan and the Second Lien Notes incurred in 2019.</w:t>
      </w:r>
    </w:p>
    <w:p>
      <w:pPr>
        <w:spacing w:after="0" w:line="34" w:lineRule="exact"/>
        <w:rPr>
          <w:rFonts w:ascii="Arial" w:cs="Arial" w:eastAsia="Arial" w:hAnsi="Arial"/>
          <w:sz w:val="17"/>
          <w:szCs w:val="17"/>
          <w:color w:val="auto"/>
        </w:rPr>
      </w:pPr>
    </w:p>
    <w:p>
      <w:pPr>
        <w:ind w:left="660" w:hanging="328"/>
        <w:spacing w:after="0" w:line="323" w:lineRule="auto"/>
        <w:tabs>
          <w:tab w:leader="none" w:pos="65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Interest payments calculated based on LIBOR rate as of December 31, 2020. Actual payments are based on changes in LIBOR. Calculated interest payments exclude interest rate swap agreements the Company entered into in connection with the new indebtedness incurred in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Option Care Health did not have any off-balance sheet arrangements, as defined in Item 303(a)(4)(ii)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following discussion is not intended to be a comprehensive list of all the accounting policies, estimates or judgments made in the preparation of our financial statements. A discussion of our significant accounting policies, including further discussion of the accounting policies described below, can be found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within the notes to the consolidated financial statements included in Item 8 of this Annual Report.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Accounts Receivable</w:t>
      </w:r>
    </w:p>
    <w:p>
      <w:pPr>
        <w:spacing w:after="0" w:line="19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4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4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6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Company’s accounts receivable is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43"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9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10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After applying the criteria from ASC 606, an allowance for doubtful accounts is established only as a result of an adverse change in the payers’ ability to pay outstanding billings. The Company did not have an allowance for doubtful accounts as of December 31, 2020 or 2019. The Company recorded an allowance for implicit price concessions based on its historical experience of additional revenue being recorded or revenue being written off when amounts received are greater than or less than the originally estimated net realizable value. The detailed assessments included, among other factors, (i) current over/under payments which had not yet been applied to an account, (ii) historical contractual adjustments, and (iii) an estimate for contractual adjustments expected to be realized in the future. Contractual allowance estimates are adjusted to actual amounts as cash is received and claims are settled.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assets acquired and liabilities assumed. The Company tests goodwill for impairment annually, or more frequently whenever events or circumstances indicate impairment may exist. Goodwill is stated at cost less accumulated impairment losses. The Company completes its goodwill impairment test annually in the fourth quarter.</w:t>
      </w:r>
    </w:p>
    <w:p>
      <w:pPr>
        <w:spacing w:after="0" w:line="1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 qualitative impairment analysis was performed in the fourth quarter of 2020 and 2019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2020 or 2019.</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quantitative impairment analysis was performed in the fourth quarter of 2018, and the Company estimated the fair value of its reporting unit using an income approach. The income approach requires the Company to estimate a number of factors for its reporting unit, including projected future operating results, economic projections, anticipated future cash flows, and discount rates. The fair value determined using the income approach was then compared to marketplace fair value data from within a comparable industry grouping for reasonableness. The Company determined that there was no goodwill impairment in 2018.</w:t>
      </w:r>
    </w:p>
    <w:p>
      <w:pPr>
        <w:spacing w:after="0" w:line="16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determination of fair value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inherent uncertainty involved in making such estimates. Changes in assumptions concerning future financial results or other underlying assumptions could have a significant impact on either the fair value of the reporting unit, the amount of the goodwill impairment charge, or both.</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8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The Company accounts for business acquisitions in accordance with ASC Topic 805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140" w:firstLine="324"/>
        <w:spacing w:after="0" w:line="219" w:lineRule="exact"/>
        <w:rPr>
          <w:sz w:val="20"/>
          <w:szCs w:val="20"/>
          <w:color w:val="auto"/>
        </w:rPr>
      </w:pPr>
      <w:r>
        <w:rPr>
          <w:rFonts w:ascii="Arial" w:cs="Arial" w:eastAsia="Arial" w:hAnsi="Arial"/>
          <w:sz w:val="17"/>
          <w:szCs w:val="17"/>
          <w:color w:val="auto"/>
        </w:rPr>
        <w:t>The Company’s primary market risk exposure is changing LIBOR</w:t>
      </w:r>
      <w:r>
        <w:rPr>
          <w:rFonts w:ascii="MS PGothic" w:cs="MS PGothic" w:eastAsia="MS PGothic" w:hAnsi="MS PGothic"/>
          <w:sz w:val="17"/>
          <w:szCs w:val="17"/>
          <w:color w:val="auto"/>
        </w:rPr>
        <w:t>‑</w:t>
      </w:r>
      <w:r>
        <w:rPr>
          <w:rFonts w:ascii="Arial" w:cs="Arial" w:eastAsia="Arial" w:hAnsi="Arial"/>
          <w:sz w:val="17"/>
          <w:szCs w:val="17"/>
          <w:color w:val="auto"/>
        </w:rPr>
        <w:t>based interest rates. Interest rate risk is highly sensitive due to many factors, including U.S. monetary and tax policies, U.S. and international economic factors and other factors beyond our control. Our First Lien Term Loan bears interest at the Eurocurrency Rate, as defined, plus 4.25%, based on our leverage ratio as of December 31, 2020. Our Second Lien Notes bear interest at LIBOR, plus 8.75%. Our ABL Facility bears interest at the greater of the Eurocurrency Rate, as defined, or 0.25% plus 1.25% to 1.75%. At December 31, 2020, we had total outstanding debt of $915.8 million under our First Lien Term Loan and $245.8 million under our Second Lien Notes. We had no outstanding borrowings under the ABL Facility as of December 31, 2020.</w:t>
      </w:r>
    </w:p>
    <w:p>
      <w:pPr>
        <w:spacing w:after="0" w:line="16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minimize interest rate risk, the Company entered into two interest rate swap contracts to hedge against fluctuations in LIBOR rates on the First Lien Term Loan and Second Lien Term Loan. The first interest rate swap for $925.0 million notional was effective in August 2019 with $911.1 million designated as a cash flow hedge against the underlying interest rate on the First Lien Term Loan indexed to one-month LIBOR through August 2021. The second interest rate swap for $400.0 million notional was effective in November 2019 and was designated as a cash flow hedge against the underlying interest rate on the Second Lien Notes interest payment indexed to three-month LIBOR through November 2020. In May 2020, upon electing to pay-in-kind the Second Lien Notes’ quarterly interest payment, the Company discontinued hedge accounting on the $400.0 million notional interest rate swap. The $400.0 million notional interest rate swap matured in November 2020 and as of December 31, 2020 the Company does not maintain a hedge against the underlying interest rate on the Second Lien Notes.</w:t>
      </w:r>
    </w:p>
    <w:p>
      <w:pPr>
        <w:spacing w:after="0" w:line="16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Based on the amounts outstanding coupled with interest rate swaps, a 100-basis point increase or decrease in market interest rates over a twelve-month period would result in a change to interest expense of $6.4 million. We do not anticipate a significant impact from a change in market interest rates through the period of the interest rate swaps, discussed further in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of the consolidated financial statements and the notes related thereto included in Item 8 of this report. Subsequent to December 31, 2020, the Company entered into an amendment on the First Lien Term Loan, which resulted in an additional $250.0 million of incremental First Lien Term Loan indebtedness being issued. The proceeds of the $250.0 million incremental First Lien Term Loan indebtedness were used to prepay the remaining $245.8 million outstanding balance of the Second Lien Notes. See Note 19, </w:t>
      </w:r>
      <w:r>
        <w:rPr>
          <w:rFonts w:ascii="Arial" w:cs="Arial" w:eastAsia="Arial" w:hAnsi="Arial"/>
          <w:sz w:val="16"/>
          <w:szCs w:val="16"/>
          <w:i w:val="1"/>
          <w:iCs w:val="1"/>
          <w:color w:val="auto"/>
        </w:rPr>
        <w:t>Subsequent Events</w:t>
      </w:r>
      <w:r>
        <w:rPr>
          <w:rFonts w:ascii="Arial" w:cs="Arial" w:eastAsia="Arial" w:hAnsi="Arial"/>
          <w:sz w:val="16"/>
          <w:szCs w:val="16"/>
          <w:color w:val="auto"/>
        </w:rPr>
        <w:t>, of the consolidated financial statements and the notes related thereto included in Item 8 of this report for further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185" w:lineRule="exact"/>
        <w:rPr>
          <w:sz w:val="20"/>
          <w:szCs w:val="20"/>
          <w:color w:val="auto"/>
        </w:rPr>
      </w:pPr>
    </w:p>
    <w:p>
      <w:pPr>
        <w:ind w:right="20" w:firstLine="283"/>
        <w:spacing w:after="0" w:line="277" w:lineRule="auto"/>
        <w:rPr>
          <w:sz w:val="20"/>
          <w:szCs w:val="20"/>
          <w:color w:val="auto"/>
        </w:rPr>
      </w:pPr>
      <w:r>
        <w:rPr>
          <w:rFonts w:ascii="Arial" w:cs="Arial" w:eastAsia="Arial" w:hAnsi="Arial"/>
          <w:sz w:val="18"/>
          <w:szCs w:val="18"/>
          <w:color w:val="auto"/>
        </w:rPr>
        <w:t>Based on its analysis of the periods presented, the Company believes that inflation has not had a material effect on its operating results. There can be no assurance that future inflation will not have an adverse impact on the Company’s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Care Health,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Option Care Health, Inc. and subsidiaries (the Company) as of December 31, 2020 and 2019, the related consolidated statements of comprehensive income (loss),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11, 2021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As discussed in Note 8 to the consolidated financial statements, the Company has changed its method of accounting for leases as of January 1, 2019 due to the adoption of the Financial Acccounting Standards Board’s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transaction price adjustments</w:t>
      </w:r>
    </w:p>
    <w:p>
      <w:pPr>
        <w:spacing w:after="0" w:line="117" w:lineRule="exact"/>
        <w:rPr>
          <w:sz w:val="20"/>
          <w:szCs w:val="20"/>
          <w:color w:val="auto"/>
        </w:rPr>
      </w:pPr>
    </w:p>
    <w:p>
      <w:pPr>
        <w:ind w:left="340" w:right="300"/>
        <w:spacing w:after="0" w:line="257" w:lineRule="auto"/>
        <w:rPr>
          <w:sz w:val="20"/>
          <w:szCs w:val="20"/>
          <w:color w:val="auto"/>
        </w:rPr>
      </w:pPr>
      <w:r>
        <w:rPr>
          <w:rFonts w:ascii="Arial" w:cs="Arial" w:eastAsia="Arial" w:hAnsi="Arial"/>
          <w:sz w:val="18"/>
          <w:szCs w:val="18"/>
          <w:color w:val="auto"/>
        </w:rPr>
        <w:t>As discussed in Notes 2 and 4 to the consolidated financial statements, net revenue is reported at the net realizable value amount that reflects the consideration the Company expects to receive in exchange for providing services. Revenues are from government payers, commercial payers, and patients for infusion therapy and other ancillary health care services. The Company estimates the transaction price adjustments based on the verification of the patient’s insurance coverage and historical price concessions, historical payments, and management’s manual price concession adjustments.</w:t>
      </w:r>
    </w:p>
    <w:p>
      <w:pPr>
        <w:spacing w:after="0" w:line="80"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We identified the evaluation of the transaction price adjustments related to recognizing revenue as a critical audit matter. Subjective and complex auditor judgment was required to evaluate the transaction price adjustments. Specifically, auditor judgment was required to evaluate the relevance and reliability of historical price concessions, historical payments, and management’s manual price concession adjustments.</w:t>
      </w:r>
    </w:p>
    <w:p>
      <w:pPr>
        <w:spacing w:after="0" w:line="57" w:lineRule="exact"/>
        <w:rPr>
          <w:sz w:val="20"/>
          <w:szCs w:val="20"/>
          <w:color w:val="auto"/>
        </w:rPr>
      </w:pPr>
    </w:p>
    <w:p>
      <w:pPr>
        <w:ind w:left="340" w:right="16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transaction price adjustment process, including controls related to the historical price concessions, historical payments, and management’s manual price concession adjustments. We tested the relevance and reliability of the underlying data that served as the basis for the transaction price adjustments which included the historical price concessions and historical payments within the classes of payors by selecting certain historical price concessions and historical payments and agreeing to underlying support. We evaluated management’s manual price concession adjustments by comparing management’s prior-year recorded balance to actual write-offs during the current year.</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328,340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324,416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115,876</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51,306</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558,654</w:t>
            </w:r>
          </w:p>
        </w:tc>
        <w:tc>
          <w:tcPr>
            <w:tcW w:w="0" w:type="dxa"/>
            <w:vAlign w:val="bottom"/>
          </w:tcPr>
          <w:p>
            <w:pPr>
              <w:spacing w:after="0"/>
              <w:rPr>
                <w:sz w:val="1"/>
                <w:szCs w:val="1"/>
                <w:color w:val="auto"/>
              </w:rPr>
            </w:pPr>
          </w:p>
        </w:tc>
      </w:tr>
      <w:tr>
        <w:trPr>
          <w:trHeight w:val="91"/>
        </w:trPr>
        <w:tc>
          <w:tcPr>
            <w:tcW w:w="7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121,149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133,198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63,502</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351,052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385,910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1,425,542</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22,741</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1,990,427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2,030,893</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2,647,439</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2,589,547</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4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282,913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221,060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45,765</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64,075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33,538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20,391</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434,023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330,004</w:t>
            </w:r>
          </w:p>
        </w:tc>
        <w:tc>
          <w:tcPr>
            <w:tcW w:w="0" w:type="dxa"/>
            <w:vAlign w:val="bottom"/>
          </w:tcPr>
          <w:p>
            <w:pPr>
              <w:spacing w:after="0"/>
              <w:rPr>
                <w:sz w:val="1"/>
                <w:szCs w:val="1"/>
                <w:color w:val="auto"/>
              </w:rPr>
            </w:pPr>
          </w:p>
        </w:tc>
      </w:tr>
      <w:tr>
        <w:trPr>
          <w:trHeight w:val="91"/>
        </w:trPr>
        <w:tc>
          <w:tcPr>
            <w:tcW w:w="7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1,115,103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1,277,246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58,242</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3,339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15,085</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1,197,692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1,352,716</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1,682,720</w:t>
            </w:r>
          </w:p>
        </w:tc>
        <w:tc>
          <w:tcPr>
            <w:tcW w:w="0" w:type="dxa"/>
            <w:vAlign w:val="bottom"/>
          </w:tcPr>
          <w:p>
            <w:pPr>
              <w:spacing w:after="0"/>
              <w:rPr>
                <w:sz w:val="1"/>
                <w:szCs w:val="1"/>
                <w:color w:val="auto"/>
              </w:rPr>
            </w:pPr>
          </w:p>
        </w:tc>
      </w:tr>
      <w:tr>
        <w:trPr>
          <w:trHeight w:val="91"/>
        </w:trPr>
        <w:tc>
          <w:tcPr>
            <w:tcW w:w="7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0" w:type="dxa"/>
            <w:vAlign w:val="bottom"/>
          </w:tcPr>
          <w:p>
            <w:pPr>
              <w:ind w:left="140"/>
              <w:spacing w:after="0" w:line="166" w:lineRule="exact"/>
              <w:rPr>
                <w:sz w:val="20"/>
                <w:szCs w:val="20"/>
                <w:color w:val="auto"/>
              </w:rPr>
            </w:pPr>
            <w:r>
              <w:rPr>
                <w:rFonts w:ascii="Arial" w:cs="Arial" w:eastAsia="Arial" w:hAnsi="Arial"/>
                <w:sz w:val="16"/>
                <w:szCs w:val="16"/>
                <w:color w:val="auto"/>
                <w:w w:val="93"/>
              </w:rPr>
              <w:t>Preferred stock; $0.0001 par value; 12,500,000 shares authorized, no shares outstanding as of December 31,</w:t>
            </w:r>
          </w:p>
        </w:tc>
        <w:tc>
          <w:tcPr>
            <w:tcW w:w="420" w:type="dxa"/>
            <w:vAlign w:val="bottom"/>
          </w:tcPr>
          <w:p>
            <w:pPr>
              <w:spacing w:after="0"/>
              <w:rPr>
                <w:sz w:val="14"/>
                <w:szCs w:val="14"/>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7400" w:type="dxa"/>
            <w:vAlign w:val="bottom"/>
            <w:vMerge w:val="restart"/>
          </w:tcPr>
          <w:p>
            <w:pPr>
              <w:ind w:left="140"/>
              <w:spacing w:after="0"/>
              <w:rPr>
                <w:sz w:val="20"/>
                <w:szCs w:val="20"/>
                <w:color w:val="auto"/>
              </w:rPr>
            </w:pPr>
            <w:r>
              <w:rPr>
                <w:rFonts w:ascii="Arial" w:cs="Arial" w:eastAsia="Arial" w:hAnsi="Arial"/>
                <w:sz w:val="16"/>
                <w:szCs w:val="16"/>
                <w:color w:val="auto"/>
              </w:rPr>
              <w:t>2020 and 2019, respectively.</w:t>
            </w:r>
          </w:p>
        </w:tc>
        <w:tc>
          <w:tcPr>
            <w:tcW w:w="4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Common stock; $0.0001 par value: 250,000,000 shares authorized, 180,178,308 shares issued and 179,794,586</w:t>
            </w: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89"/>
              </w:rPr>
              <w:t>shares outstanding as of December 31, 2020; 176,975,628 shares issued and 176,591,907 shares outstanding as</w:t>
            </w: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December 31, 2019.</w:t>
            </w:r>
          </w:p>
        </w:tc>
        <w:tc>
          <w:tcPr>
            <w:tcW w:w="4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w w:val="99"/>
              </w:rPr>
              <w:t>Treasury stock; 383,722 shares outstanding, at cost, as of December 31, 2020 and 2019, respectively.</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1,008,362</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(91,955)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2,647,439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2,589,547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2,310,417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1,939,791</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2,350,346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1,797,418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1,517,576</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422,215</w:t>
            </w:r>
          </w:p>
        </w:tc>
        <w:tc>
          <w:tcPr>
            <w:tcW w:w="0" w:type="dxa"/>
            <w:vAlign w:val="bottom"/>
          </w:tcPr>
          <w:p>
            <w:pPr>
              <w:spacing w:after="0"/>
              <w:rPr>
                <w:sz w:val="1"/>
                <w:szCs w:val="1"/>
                <w:color w:val="auto"/>
              </w:rPr>
            </w:pPr>
          </w:p>
        </w:tc>
      </w:tr>
      <w:tr>
        <w:trPr>
          <w:trHeight w:val="256"/>
        </w:trPr>
        <w:tc>
          <w:tcPr>
            <w:tcW w:w="7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459,628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345,884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38,062</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513,318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383,946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38,269</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(107,770)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(73,724)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(45,824)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(47,037)</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(8,768)</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259"/>
        </w:trPr>
        <w:tc>
          <w:tcPr>
            <w:tcW w:w="7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(75,920)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Change in unrealized (losses) gains on cash flow hedges, net of income taxes of $0, $259 and $234,</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COMMON SHARE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16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207"/>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199"/>
        </w:trPr>
        <w:tc>
          <w:tcPr>
            <w:tcW w:w="77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Adjustments to reconcile net loss to net cash provided by operations: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41,055</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Loss on sale of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casualty loss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Paid-in-kind interest capitalized as principal</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Interest on management notes receivable</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distribution from equity method investments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Change in contingent consideration liability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(21,012)</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(4,715)</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w:t>
            </w: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(5,586)</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r>
      <w:tr>
        <w:trPr>
          <w:trHeight w:val="248"/>
        </w:trPr>
        <w:tc>
          <w:tcPr>
            <w:tcW w:w="77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24,428</w:t>
            </w:r>
          </w:p>
        </w:tc>
      </w:tr>
      <w:tr>
        <w:trPr>
          <w:trHeight w:val="21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(26,276)</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Proceeds from sale of assets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 proceeds from business casualty loss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(700,170)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(10,727)</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cash flows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7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(26,334)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(727,826)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(37,003)</w:t>
            </w:r>
          </w:p>
        </w:tc>
      </w:tr>
      <w:tr>
        <w:trPr>
          <w:trHeight w:val="21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Redemptions to related parties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Sale of management notes receivable</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Net proceeds from issuance of common stock</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debt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Repayments of debt principal</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(5,150)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Retirement of debt obligations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prepayment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(68,849)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(4,150)</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(16,725)</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53,116</w:t>
            </w: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r>
      <w:tr>
        <w:trPr>
          <w:trHeight w:val="21"/>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97,640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50,808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47,173</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0"/>
        </w:trPr>
        <w:tc>
          <w:tcPr>
            <w:tcW w:w="7760" w:type="dxa"/>
            <w:vAlign w:val="bottom"/>
          </w:tcPr>
          <w:p>
            <w:pPr>
              <w:ind w:left="140"/>
              <w:spacing w:after="0"/>
              <w:rPr>
                <w:sz w:val="20"/>
                <w:szCs w:val="20"/>
                <w:color w:val="auto"/>
              </w:rPr>
            </w:pPr>
            <w:r>
              <w:rPr>
                <w:rFonts w:ascii="Arial" w:cs="Arial" w:eastAsia="Arial" w:hAnsi="Arial"/>
                <w:sz w:val="16"/>
                <w:szCs w:val="16"/>
                <w:color w:val="auto"/>
              </w:rPr>
              <w:t>Cash paid for operating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26,809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18,992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ectPr>
          <w:pgSz w:w="11900" w:h="16838" w:orient="portrait"/>
          <w:cols w:equalWidth="0" w:num="1">
            <w:col w:w="11200"/>
          </w:cols>
          <w:pgMar w:left="320" w:top="122" w:right="379" w:bottom="1440" w:gutter="0" w:footer="0" w:header="0"/>
        </w:sect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6"/>
                <w:szCs w:val="16"/>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6"/>
                <w:szCs w:val="1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Management</w:t>
            </w: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2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4"/>
                <w:szCs w:val="14"/>
                <w:color w:val="auto"/>
              </w:rPr>
            </w:pPr>
          </w:p>
        </w:tc>
        <w:tc>
          <w:tcPr>
            <w:tcW w:w="11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9"/>
              </w:rPr>
              <w:t>Notes Receivable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Income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w w:val="98"/>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617,057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(9,920)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606,105</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31, 2017</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40"/>
              <w:spacing w:after="0" w:line="166" w:lineRule="exact"/>
              <w:rPr>
                <w:sz w:val="20"/>
                <w:szCs w:val="20"/>
                <w:color w:val="auto"/>
              </w:rPr>
            </w:pPr>
            <w:r>
              <w:rPr>
                <w:rFonts w:ascii="Arial" w:cs="Arial" w:eastAsia="Arial" w:hAnsi="Arial"/>
                <w:sz w:val="16"/>
                <w:szCs w:val="16"/>
                <w:color w:val="auto"/>
              </w:rPr>
              <w:t>Stockholders'</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00" w:type="dxa"/>
            <w:vAlign w:val="bottom"/>
          </w:tcPr>
          <w:p>
            <w:pPr>
              <w:ind w:left="140"/>
              <w:spacing w:after="0"/>
              <w:rPr>
                <w:sz w:val="20"/>
                <w:szCs w:val="20"/>
                <w:color w:val="auto"/>
              </w:rPr>
            </w:pPr>
            <w:r>
              <w:rPr>
                <w:rFonts w:ascii="Arial" w:cs="Arial" w:eastAsia="Arial" w:hAnsi="Arial"/>
                <w:sz w:val="16"/>
                <w:szCs w:val="16"/>
                <w:color w:val="auto"/>
              </w:rPr>
              <w:t>contributions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Interest on</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9"/>
              </w:rPr>
              <w:t>management notes</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09"/>
        </w:trPr>
        <w:tc>
          <w:tcPr>
            <w:tcW w:w="150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rPr>
              <w:t>comprehensive</w:t>
            </w:r>
          </w:p>
        </w:tc>
        <w:tc>
          <w:tcPr>
            <w:tcW w:w="120" w:type="dxa"/>
            <w:vAlign w:val="bottom"/>
          </w:tcPr>
          <w:p>
            <w:pPr>
              <w:spacing w:after="0"/>
              <w:rPr>
                <w:sz w:val="14"/>
                <w:szCs w:val="14"/>
                <w:color w:val="auto"/>
              </w:rPr>
            </w:pPr>
          </w:p>
        </w:tc>
        <w:tc>
          <w:tcPr>
            <w:tcW w:w="84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619,621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602,825</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31, 2018</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Purchase of</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387,040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387,044</w:t>
            </w:r>
          </w:p>
        </w:tc>
        <w:tc>
          <w:tcPr>
            <w:tcW w:w="0" w:type="dxa"/>
            <w:vAlign w:val="bottom"/>
          </w:tcPr>
          <w:p>
            <w:pPr>
              <w:spacing w:after="0"/>
              <w:rPr>
                <w:sz w:val="1"/>
                <w:szCs w:val="1"/>
                <w:color w:val="auto"/>
              </w:rPr>
            </w:pPr>
          </w:p>
        </w:tc>
      </w:tr>
      <w:tr>
        <w:trPr>
          <w:trHeight w:val="209"/>
        </w:trPr>
        <w:tc>
          <w:tcPr>
            <w:tcW w:w="1500" w:type="dxa"/>
            <w:vAlign w:val="bottom"/>
          </w:tcPr>
          <w:p>
            <w:pPr>
              <w:ind w:left="120"/>
              <w:spacing w:after="0"/>
              <w:rPr>
                <w:sz w:val="20"/>
                <w:szCs w:val="20"/>
                <w:color w:val="auto"/>
              </w:rPr>
            </w:pPr>
            <w:r>
              <w:rPr>
                <w:rFonts w:ascii="Arial" w:cs="Arial" w:eastAsia="Arial" w:hAnsi="Arial"/>
                <w:sz w:val="16"/>
                <w:szCs w:val="16"/>
                <w:color w:val="auto"/>
              </w:rPr>
              <w:t>BioScrip, Inc.</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Interest on</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9"/>
              </w:rPr>
              <w:t>management notes</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Repayment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w w:val="99"/>
              </w:rPr>
              <w:t>management notes</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9"/>
        </w:trPr>
        <w:tc>
          <w:tcPr>
            <w:tcW w:w="150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Stockholders'</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09"/>
        </w:trPr>
        <w:tc>
          <w:tcPr>
            <w:tcW w:w="150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Exercise of stock</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4"/>
              </w:rPr>
              <w:t>restricted stock, and</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0"/>
              </w:rPr>
              <w:t>(2,403)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(75,920)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(75,920)</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00" w:type="dxa"/>
            <w:vAlign w:val="bottom"/>
          </w:tcPr>
          <w:p>
            <w:pPr>
              <w:ind w:left="20"/>
              <w:spacing w:after="0" w:line="146"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280"/>
              <w:spacing w:after="0"/>
              <w:rPr>
                <w:sz w:val="20"/>
                <w:szCs w:val="20"/>
                <w:color w:val="auto"/>
              </w:rPr>
            </w:pPr>
            <w:r>
              <w:rPr>
                <w:rFonts w:ascii="Arial" w:cs="Arial" w:eastAsia="Arial" w:hAnsi="Arial"/>
                <w:sz w:val="16"/>
                <w:szCs w:val="16"/>
                <w:color w:val="auto"/>
                <w:w w:val="90"/>
              </w:rPr>
              <w:t>(2,403)</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1,008,362</w:t>
            </w:r>
          </w:p>
        </w:tc>
        <w:tc>
          <w:tcPr>
            <w:tcW w:w="1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(91,955)</w:t>
            </w:r>
          </w:p>
        </w:tc>
        <w:tc>
          <w:tcPr>
            <w:tcW w:w="12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(7,195)</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09"/>
        </w:trPr>
        <w:tc>
          <w:tcPr>
            <w:tcW w:w="1500" w:type="dxa"/>
            <w:vAlign w:val="bottom"/>
          </w:tcPr>
          <w:p>
            <w:pPr>
              <w:ind w:left="20"/>
              <w:spacing w:after="0"/>
              <w:rPr>
                <w:sz w:val="20"/>
                <w:szCs w:val="20"/>
                <w:color w:val="auto"/>
              </w:rPr>
            </w:pPr>
            <w:r>
              <w:rPr>
                <w:rFonts w:ascii="Arial" w:cs="Arial" w:eastAsia="Arial" w:hAnsi="Arial"/>
                <w:sz w:val="16"/>
                <w:szCs w:val="16"/>
                <w:color w:val="auto"/>
              </w:rPr>
              <w:t>31, 2019</w:t>
            </w: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Stock-based</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Exercise of stock</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w w:val="94"/>
              </w:rPr>
              <w:t>restricted stock, and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9"/>
        </w:trPr>
        <w:tc>
          <w:tcPr>
            <w:tcW w:w="150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Net proceeds from</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the issuance of</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118,933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118,934</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Cancellation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20"/>
              <w:spacing w:after="0" w:line="162" w:lineRule="exact"/>
              <w:rPr>
                <w:sz w:val="20"/>
                <w:szCs w:val="20"/>
                <w:color w:val="auto"/>
              </w:rPr>
            </w:pPr>
            <w:r>
              <w:rPr>
                <w:rFonts w:ascii="Arial" w:cs="Arial" w:eastAsia="Arial" w:hAnsi="Arial"/>
                <w:sz w:val="16"/>
                <w:szCs w:val="16"/>
                <w:color w:val="auto"/>
                <w:w w:val="94"/>
              </w:rPr>
              <w:t>common stock - see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00" w:type="dxa"/>
            <w:vAlign w:val="bottom"/>
          </w:tcPr>
          <w:p>
            <w:pPr>
              <w:ind w:left="120"/>
              <w:spacing w:after="0"/>
              <w:rPr>
                <w:sz w:val="20"/>
                <w:szCs w:val="20"/>
                <w:color w:val="auto"/>
              </w:rPr>
            </w:pPr>
            <w:r>
              <w:rPr>
                <w:rFonts w:ascii="Arial" w:cs="Arial" w:eastAsia="Arial" w:hAnsi="Arial"/>
                <w:sz w:val="16"/>
                <w:szCs w:val="16"/>
                <w:color w:val="auto"/>
              </w:rPr>
              <w:t>Note 16</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0" w:type="dxa"/>
            <w:vAlign w:val="bottom"/>
          </w:tcPr>
          <w:p>
            <w:pPr>
              <w:spacing w:after="0"/>
              <w:rPr>
                <w:sz w:val="1"/>
                <w:szCs w:val="1"/>
                <w:color w:val="auto"/>
              </w:rPr>
            </w:pPr>
          </w:p>
        </w:tc>
      </w:tr>
      <w:tr>
        <w:trPr>
          <w:trHeight w:val="166"/>
        </w:trPr>
        <w:tc>
          <w:tcPr>
            <w:tcW w:w="150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4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w w:val="96"/>
              </w:rPr>
              <w:t>comprehensive loss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0"/>
              </w:rPr>
              <w:t>(2,403)</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05"/>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31, 2020</w:t>
            </w:r>
          </w:p>
        </w:tc>
        <w:tc>
          <w:tcPr>
            <w:tcW w:w="12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98"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4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Under the terms of the Merger Agreement, shares of HC II common stock issued and outstanding immediately prior to the Merger Date were converted into 135,565,392 shares of BioScrip common stock, par value $0.0001 (the “BioScrip common stock”). BioScrip also issued an additional 7,048,357 shares to HC I in respect of certain outstanding unvested contingent restricted stock units of BioScrip, which were set aside to prevent dilution related to potential additional vesting on certain share-based instruments. See Note 16,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discussion of these shares set aside. In conjunction with the Merger, holders of BioScrip preferred shares and certain warrants received 864,603 additional shares of BioScrip common stock and preferred shares were repurchased for $125.8 million of cash. In addition, all legacy BioScrip debt was settled for $575.0 million. As a result of the Merger, BioScrip’s stockholders held approximately 19.2% of the combined company, and HC I held approximately 80.8% of the combined company. Following the close of the transaction, BioScrip was rebranded as Option Care Health, Inc. (“Option Care Health”, or the “Company”). The combined company’s stock was listed on the Nasdaq Global Select Market as of December 31, 2020.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for further discussion of the Merger.</w:t>
      </w:r>
    </w:p>
    <w:p>
      <w:pPr>
        <w:spacing w:after="0" w:line="139"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99 full service pharmacies and 46 stand-alone ambulatory infusion sites.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27" w:lineRule="exact"/>
        <w:rPr>
          <w:sz w:val="20"/>
          <w:szCs w:val="20"/>
          <w:color w:val="auto"/>
        </w:rPr>
      </w:pPr>
    </w:p>
    <w:p>
      <w:pPr>
        <w:ind w:right="160" w:firstLine="324"/>
        <w:spacing w:after="0" w:line="28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consolidated financial statements have been prepared in conformity with generally accepted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(“GAAP”) in the United States. These principals require management to make certain estimates and assumptions in determining assets, liabilities, revenue, expenses, and related disclosures. Actual amounts could differ materially from those estimates.</w:t>
      </w:r>
    </w:p>
    <w:p>
      <w:pPr>
        <w:spacing w:after="0" w:line="117" w:lineRule="exact"/>
        <w:rPr>
          <w:sz w:val="20"/>
          <w:szCs w:val="20"/>
          <w:color w:val="auto"/>
        </w:rPr>
      </w:pPr>
    </w:p>
    <w:p>
      <w:pPr>
        <w:ind w:right="58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consolidated financial statements include the accounts of Option Care Health,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The BioScrip results have been included in the consolidated financial results since the Merger Date. All intercompany transactions and balances are eliminated in consolidation.</w:t>
      </w:r>
    </w:p>
    <w:p>
      <w:pPr>
        <w:spacing w:after="0" w:line="15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21" w:lineRule="exact"/>
        <w:rPr>
          <w:sz w:val="20"/>
          <w:szCs w:val="20"/>
          <w:color w:val="auto"/>
        </w:rPr>
      </w:pPr>
    </w:p>
    <w:p>
      <w:pPr>
        <w:jc w:val="both"/>
        <w:ind w:right="700" w:firstLine="324"/>
        <w:spacing w:after="0" w:line="314"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The Company’s accounts receivable is reported at the net realizable value amount that reflects the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0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7"/>
          <w:szCs w:val="17"/>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In accordance with Financial Accounting Standards Board (“FASB”)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(“ASC 606”), an allowance for doubtful accounts is established only as a result of an adverse change in the Company’s payers’ ability to pay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billings. The allowance for doubtful accounts balance is $0 as of December 31, 2020 and 2019, respectively.</w:t>
      </w:r>
    </w:p>
    <w:p>
      <w:pPr>
        <w:spacing w:after="0" w:line="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Included in accounts receivable are earned but unbilled gross receivables of $79.0 million and $68.7 million as of December 31, 2020 and 2019, respectively. Delays ranging from one day up to several weeks between the date of service and billing can occur due to delays in obtaining certain required payer-specific documentation from internal and external sources.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further discussion of the Company’s revenue recognition policy.</w:t>
      </w:r>
    </w:p>
    <w:p>
      <w:pPr>
        <w:spacing w:after="0" w:line="181" w:lineRule="exact"/>
        <w:rPr>
          <w:sz w:val="20"/>
          <w:szCs w:val="20"/>
          <w:color w:val="auto"/>
        </w:rPr>
      </w:pPr>
    </w:p>
    <w:p>
      <w:pPr>
        <w:ind w:right="20" w:firstLine="324"/>
        <w:spacing w:after="0" w:line="226" w:lineRule="exact"/>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Inventory, which consists primarily of pharmaceuticals, is stated at the lower of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cost or net realizable value basis,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believes is reflective of the physical flow of inventories.</w:t>
      </w:r>
    </w:p>
    <w:p>
      <w:pPr>
        <w:spacing w:after="0" w:line="17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During the year ended December 31, 2018, one Company location was destroyed by a hurricane, resulting in a loss of $2.9 million of inventory. This business casualty loss was recorded as a component of operating costs and expenses within the consolidated statements of comprehensive income (loss). The Company received insurance proceeds of $0.8 million during the year ended December 31, 2018, and recorded a receivable of $1.0 million. Both of these amounts were recorded as a partial offset to the business casualty loss in the consolidated statements of comprehensive income (loss). The $0.8 million of insurance proceeds were reflected as a component of cash flows from operating activities in the consolidated statements of cash flows. During the year ended December 31, 2019, $3.0 million in proceeds were received related to recovery of inventory and business interruption and was included as a component of cash flows from operating activities in the consolidated statements of cash flows. These proceeds resulted in a gain on business casualty loss of $2.0 million recorded as a component of selling, general and administrative expense in the consolidated statement of comprehensive income (loss).</w:t>
      </w:r>
    </w:p>
    <w:p>
      <w:pPr>
        <w:spacing w:after="0" w:line="12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b w:val="1"/>
          <w:bCs w:val="1"/>
          <w:color w:val="auto"/>
        </w:rPr>
        <w:t xml:space="preserve">Prepaid expenses and other current assets </w:t>
      </w:r>
      <w:r>
        <w:rPr>
          <w:rFonts w:ascii="Arial" w:cs="Arial" w:eastAsia="Arial" w:hAnsi="Arial"/>
          <w:sz w:val="18"/>
          <w:szCs w:val="18"/>
          <w:color w:val="auto"/>
        </w:rPr>
        <w:t>— Included in prepaid expenses and other current assets are rebates receivable from pharmaceutical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supply manufacturers of $35.2 million and $13.9 million for the years ended December 31, 2020 and 2019, respectively. There were no other items included in prepaid expenses and other current assets that comprised 5% or more of the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00" w:firstLine="324"/>
        <w:spacing w:after="0" w:line="28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 The Company has lease agreements for facilities, warehouses, office space and property and equipment. Effective as of January 1, 2019, at</w:t>
      </w:r>
      <w:r>
        <w:rPr>
          <w:rFonts w:ascii="Arial" w:cs="Arial" w:eastAsia="Arial" w:hAnsi="Arial"/>
          <w:sz w:val="17"/>
          <w:szCs w:val="17"/>
          <w:b w:val="1"/>
          <w:bCs w:val="1"/>
          <w:color w:val="auto"/>
        </w:rPr>
        <w:t xml:space="preserve"> </w:t>
      </w:r>
      <w:r>
        <w:rPr>
          <w:rFonts w:ascii="Arial" w:cs="Arial" w:eastAsia="Arial" w:hAnsi="Arial"/>
          <w:sz w:val="17"/>
          <w:szCs w:val="17"/>
          <w:color w:val="auto"/>
        </w:rPr>
        <w:t>the inception of a contract, the 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2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are estimated primarily using a methodology dependent on the Company’s financial condition, creditworthiness, and availability of certain observable data. In particular, the Company considers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Arial" w:cs="Arial" w:eastAsia="Arial" w:hAnsi="Arial"/>
          <w:sz w:val="18"/>
          <w:szCs w:val="18"/>
          <w:i w:val="1"/>
          <w:iCs w:val="1"/>
          <w:color w:val="auto"/>
        </w:rPr>
        <w:t>Leases</w:t>
      </w:r>
      <w:r>
        <w:rPr>
          <w:rFonts w:ascii="Arial" w:cs="Arial" w:eastAsia="Arial" w:hAnsi="Arial"/>
          <w:sz w:val="18"/>
          <w:szCs w:val="18"/>
          <w:color w:val="auto"/>
        </w:rPr>
        <w:t>, for further discussion of leases.</w:t>
      </w:r>
    </w:p>
    <w:p>
      <w:pPr>
        <w:spacing w:after="0" w:line="142"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Goodwill, Intangible Assets, and Property and Equipment </w:t>
      </w:r>
      <w:r>
        <w:rPr>
          <w:rFonts w:ascii="Arial" w:cs="Arial" w:eastAsia="Arial" w:hAnsi="Arial"/>
          <w:sz w:val="18"/>
          <w:szCs w:val="18"/>
          <w:color w:val="auto"/>
        </w:rPr>
        <w:t>— Goodwill represents the excess of the purchase price over the fair value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acquired and liabilities assumed. The Company accounts for goodwill under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The Company tests goodwill for impairment annually, or more frequently whenever events or circumstances indicate impairment may exist. Goodwill is stated at cost less accumulated impairment losses. The Company completes its goodwill impairment test annually in the fourth quarter. See Note 10,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for further discussion of the Company’s goodwill and other intangible assets.</w:t>
      </w:r>
    </w:p>
    <w:p>
      <w:pPr>
        <w:spacing w:after="0" w:line="160" w:lineRule="exact"/>
        <w:rPr>
          <w:sz w:val="20"/>
          <w:szCs w:val="20"/>
          <w:color w:val="auto"/>
        </w:rPr>
      </w:pPr>
    </w:p>
    <w:p>
      <w:pPr>
        <w:ind w:right="160" w:firstLine="405"/>
        <w:spacing w:after="0" w:line="221" w:lineRule="exact"/>
        <w:rPr>
          <w:sz w:val="20"/>
          <w:szCs w:val="20"/>
          <w:color w:val="auto"/>
        </w:rPr>
      </w:pPr>
      <w:r>
        <w:rPr>
          <w:rFonts w:ascii="Arial" w:cs="Arial" w:eastAsia="Arial" w:hAnsi="Arial"/>
          <w:sz w:val="17"/>
          <w:szCs w:val="17"/>
          <w:color w:val="auto"/>
        </w:rPr>
        <w:t>Intangible assets arising from the Company’s acquisitions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estimated useful life of each asset. Referral sources have a useful life of 15-20 years. Trademarks/names have a useful life ranging from two to fifteen years. The useful lives for other amortizable intangible assets range from approximately two to nine years. The Company does not have any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w:t>
      </w:r>
    </w:p>
    <w:p>
      <w:pPr>
        <w:spacing w:after="0" w:line="161"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Property and equipment is recorded at cost, net of accumulated depreciation. Depreciation on owned property and equipment is provided for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years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software’s estimated useful life, generally five years. Costs recognized in the preliminary project phase and the post-implementation phase, as well as maintenance and training costs, are expensed as incurred.</w:t>
      </w:r>
    </w:p>
    <w:p>
      <w:pPr>
        <w:spacing w:after="0" w:line="162" w:lineRule="exact"/>
        <w:rPr>
          <w:sz w:val="20"/>
          <w:szCs w:val="20"/>
          <w:color w:val="auto"/>
        </w:rPr>
      </w:pPr>
    </w:p>
    <w:p>
      <w:pPr>
        <w:ind w:right="40" w:firstLine="405"/>
        <w:spacing w:after="0" w:line="220" w:lineRule="exact"/>
        <w:rPr>
          <w:sz w:val="20"/>
          <w:szCs w:val="20"/>
          <w:color w:val="auto"/>
        </w:rPr>
      </w:pPr>
      <w:r>
        <w:rPr>
          <w:rFonts w:ascii="Arial" w:cs="Arial" w:eastAsia="Arial" w:hAnsi="Arial"/>
          <w:sz w:val="18"/>
          <w:szCs w:val="18"/>
          <w:color w:val="auto"/>
        </w:rPr>
        <w:t>The Company tests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circumstances indicate that a certain asset or asset group may be impaired. Once identified, the amount of the impairment is computed by comparing the carrying value of the respective asset or asset group to its fair value, which is based on the discounted estimated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b w:val="1"/>
          <w:bCs w:val="1"/>
          <w:color w:val="auto"/>
        </w:rPr>
        <w:t xml:space="preserve">Equity-Method Investments </w:t>
      </w:r>
      <w:r>
        <w:rPr>
          <w:rFonts w:ascii="Arial" w:cs="Arial" w:eastAsia="Arial" w:hAnsi="Arial"/>
          <w:sz w:val="16"/>
          <w:szCs w:val="16"/>
          <w:color w:val="auto"/>
        </w:rPr>
        <w:t>— The Company’s investments in certain unconsolidated entities are accounted for under the equity method.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balance of these investments is included in other noncurrent assets in the accompanying consolidated balance sheets. As of December 31, 2020 and 2019, the balance of the investments was $17.0 million and $17.0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consolidated statements of comprehensive income (loss). The Company’s proportionate share of earnings was $3.3 million, $2.8 million and $1.0 million for the years ended December 31, 2020, 2019 and 2018, respectively. Distributions from the investees are treated as cash inflows from operating activities in the consolidated statements of cash flows. During the years ended December 31, 2020, 2019 and 2018, the Company received distributions from the investees of $3.3 million, $0.5 million and $2.0 million, respectively. See Footnote 17, </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for discussion of related-party transactions with these investees.</w:t>
      </w:r>
    </w:p>
    <w:p>
      <w:pPr>
        <w:spacing w:after="0" w:line="120"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b w:val="1"/>
          <w:bCs w:val="1"/>
          <w:color w:val="auto"/>
        </w:rPr>
        <w:t xml:space="preserve">Hedging Instruments </w:t>
      </w:r>
      <w:r>
        <w:rPr>
          <w:rFonts w:ascii="Arial" w:cs="Arial" w:eastAsia="Arial" w:hAnsi="Arial"/>
          <w:sz w:val="18"/>
          <w:szCs w:val="18"/>
          <w:color w:val="auto"/>
        </w:rPr>
        <w:t>— The Company uses derivative financial instruments to limit its exposure to increases in the interest rate of its variable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 instruments. The derivative financial instruments are recognized on the consolidated balance sheets at fair value.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53"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At inception of the hedge, the Company designated the derivative instruments as a hedge of the cash flows related to the interest on the variable rate debt. For all instruments designated as hedges, the Company documents the hedging relationships and its risk management objective of the hedging relationship. For all hedging instruments, the terms of the hedge perfectly offset the hedged expected cash flows.</w:t>
      </w:r>
    </w:p>
    <w:p>
      <w:pPr>
        <w:spacing w:after="0" w:line="121" w:lineRule="exact"/>
        <w:rPr>
          <w:sz w:val="20"/>
          <w:szCs w:val="20"/>
          <w:color w:val="auto"/>
        </w:rPr>
      </w:pPr>
    </w:p>
    <w:p>
      <w:pPr>
        <w:jc w:val="both"/>
        <w:ind w:right="60" w:firstLine="405"/>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Net revenue is reported at the net realizable value amount that reflects the consideration the Company expects to receive in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for providing services. Revenues are from government payers, commercial payers, and patients for goods and services provided and are based on a gross price based on payer contracts, fee schedules, or other arrangements less any implicit price concessions.</w:t>
      </w:r>
    </w:p>
    <w:p>
      <w:pPr>
        <w:spacing w:after="0" w:line="121"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57"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a further discussion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405"/>
        <w:spacing w:after="0" w:line="314" w:lineRule="auto"/>
        <w:rPr>
          <w:sz w:val="20"/>
          <w:szCs w:val="20"/>
          <w:color w:val="auto"/>
        </w:rPr>
      </w:pPr>
      <w:r>
        <w:rPr>
          <w:rFonts w:ascii="Arial" w:cs="Arial" w:eastAsia="Arial" w:hAnsi="Arial"/>
          <w:sz w:val="16"/>
          <w:szCs w:val="16"/>
          <w:b w:val="1"/>
          <w:bCs w:val="1"/>
          <w:color w:val="auto"/>
        </w:rPr>
        <w:t xml:space="preserve">Cost of Revenue </w:t>
      </w:r>
      <w:r>
        <w:rPr>
          <w:rFonts w:ascii="Arial" w:cs="Arial" w:eastAsia="Arial" w:hAnsi="Arial"/>
          <w:sz w:val="16"/>
          <w:szCs w:val="16"/>
          <w:color w:val="auto"/>
        </w:rPr>
        <w:t>— Cost of revenue consists of the actual cost of pharmaceuticals and other medical supplies dispensed to patients, as well as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costs directly related to the production of revenue. These costs include warehousing costs, purchasing costs, freight costs, cash discounts, wages and related costs for pharmacists and nurses, along with depreciation expense relating to revenue-generating assets, such as infusion pumps.</w:t>
      </w:r>
    </w:p>
    <w:p>
      <w:pPr>
        <w:spacing w:after="0" w:line="105"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Company receives prompt payment discounts from some of its pharmaceutical and medical supplies vendors. These prompt payment discounts are recorded as a reduction of inventory and are accounted for as a reduction of cost of goods sold when the related inventory is sold.</w:t>
      </w:r>
    </w:p>
    <w:p>
      <w:pPr>
        <w:spacing w:after="0" w:line="11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02" w:lineRule="exact"/>
        <w:rPr>
          <w:sz w:val="20"/>
          <w:szCs w:val="20"/>
          <w:color w:val="auto"/>
        </w:rPr>
      </w:pPr>
    </w:p>
    <w:p>
      <w:pPr>
        <w:ind w:right="640" w:firstLine="405"/>
        <w:spacing w:after="0" w:line="347"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 Selling, general and administrative expenses mainly consist of salaries for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that directly and indirectly support the operations, occupancy costs, marketing expenditures, insurance, and professional fees.</w:t>
      </w:r>
    </w:p>
    <w:p>
      <w:pPr>
        <w:spacing w:after="0" w:line="7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b w:val="1"/>
          <w:bCs w:val="1"/>
          <w:color w:val="auto"/>
        </w:rPr>
        <w:t xml:space="preserve">Stock Based Incentive Compensation </w:t>
      </w:r>
      <w:r>
        <w:rPr>
          <w:rFonts w:ascii="Arial" w:cs="Arial" w:eastAsia="Arial" w:hAnsi="Arial"/>
          <w:sz w:val="17"/>
          <w:szCs w:val="17"/>
          <w:color w:val="auto"/>
        </w:rPr>
        <w:t>- The Company accounts for stock-based incentive compensation expense in accordance with ASC Topic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Compensation-Stock Compensation </w:t>
      </w:r>
      <w:r>
        <w:rPr>
          <w:rFonts w:ascii="Arial" w:cs="Arial" w:eastAsia="Arial" w:hAnsi="Arial"/>
          <w:sz w:val="17"/>
          <w:szCs w:val="17"/>
          <w:color w:val="auto"/>
        </w:rPr>
        <w:t>(“ASC 718”). Stock-based incentive compensation expense is based on the grant date fair value.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Prior to the Merger, HCI issued incentive units to certain employees of Option Care, who remained employees of the Company following the Merger. In accordance with ASC 718, the Company recognizes compensation expense on a straight-line basis over the shorter of the vesting period of the award or the employee’s expected eligibility date. HC I also issued equity incentive units to certain members of the Option Care Board of Directors, who remained members of the Board of Directors following the Merger. See Note 15, </w:t>
      </w:r>
      <w:r>
        <w:rPr>
          <w:rFonts w:ascii="Arial" w:cs="Arial" w:eastAsia="Arial" w:hAnsi="Arial"/>
          <w:sz w:val="18"/>
          <w:szCs w:val="18"/>
          <w:i w:val="1"/>
          <w:iCs w:val="1"/>
          <w:color w:val="auto"/>
        </w:rPr>
        <w:t>Stock-Based Incentive Compensation</w:t>
      </w:r>
      <w:r>
        <w:rPr>
          <w:rFonts w:ascii="Arial" w:cs="Arial" w:eastAsia="Arial" w:hAnsi="Arial"/>
          <w:sz w:val="18"/>
          <w:szCs w:val="18"/>
          <w:color w:val="auto"/>
        </w:rPr>
        <w:t>, for a further discussion of equity incentive plans.</w:t>
      </w:r>
    </w:p>
    <w:p>
      <w:pPr>
        <w:spacing w:after="0" w:line="143" w:lineRule="exact"/>
        <w:rPr>
          <w:sz w:val="20"/>
          <w:szCs w:val="20"/>
          <w:color w:val="auto"/>
        </w:rPr>
      </w:pPr>
    </w:p>
    <w:p>
      <w:pPr>
        <w:ind w:right="120" w:firstLine="405"/>
        <w:spacing w:after="0" w:line="289" w:lineRule="auto"/>
        <w:rPr>
          <w:sz w:val="20"/>
          <w:szCs w:val="20"/>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color w:val="auto"/>
        </w:rPr>
        <w:t>- The Company accounts for business acquisitions in accordance with ASC Topic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assets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liabilities being recorded at their acquisition date fair value and goodwill being calculated as the purchase price in excess of the net identifiable assets.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for further discussion of the Company’s business acquisitions.</w:t>
      </w:r>
    </w:p>
    <w:p>
      <w:pPr>
        <w:spacing w:after="0" w:line="117"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accounts for income taxes using the asset and liability method. Deferred tax assets and liabilities are reported for</w:t>
      </w:r>
      <w:r>
        <w:rPr>
          <w:rFonts w:ascii="Arial" w:cs="Arial" w:eastAsia="Arial" w:hAnsi="Arial"/>
          <w:sz w:val="18"/>
          <w:szCs w:val="18"/>
          <w:b w:val="1"/>
          <w:bCs w:val="1"/>
          <w:color w:val="auto"/>
        </w:rPr>
        <w:t xml:space="preserve"> </w:t>
      </w:r>
      <w:r>
        <w:rPr>
          <w:rFonts w:ascii="Arial" w:cs="Arial" w:eastAsia="Arial" w:hAnsi="Arial"/>
          <w:sz w:val="18"/>
          <w:szCs w:val="18"/>
          <w:color w:val="auto"/>
        </w:rPr>
        <w:t>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5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14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15%, 16% and 17% for the years ended December 31, 2020, 2019 and 2018, respectively. In December 2019, the Company renewed and expanded its multi-year contract with this payer. The contract renewal was effective in February 2020 for a two-year term and auto-renews at the end of that term. There were no other managed care contracts that represent greater than 10% of revenue for the years presented.</w:t>
      </w:r>
    </w:p>
    <w:p>
      <w:pPr>
        <w:spacing w:after="0" w:line="14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For the years ended December 31, 2020, 2019 and 2018, approximately 15%, 12% and 12%, respectively, of the Company’s revenue was reimbursable through direct government healthcare programs such as Medicare and Medicaid. As of December 31, 2020 and 2019, approximately 15%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4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concentrations of credit risk relating to trade accounts receivable is limited due to the Company’s diversity of patients and payers. Further, the Company generally does not provide charity care.</w:t>
      </w:r>
    </w:p>
    <w:p>
      <w:pPr>
        <w:spacing w:after="0" w:line="14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the years ended December 31, 2020 and 2019, approximately 70% and 70%, respectively, of the Company’s pharmaceutical and medical supply purchases were from three vendors. For the year ended December 31, 2018, approximately 66% of the Company’s pharmaceutical and medical supply purchases were from two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is uncertainty regarding the COVID-19 pandemic, as of December 31, 2020 the Company has been able to maintain adequate levels of supplies and pharmaceuticals to support its operations.</w:t>
      </w:r>
    </w:p>
    <w:p>
      <w:pPr>
        <w:spacing w:after="0" w:line="13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The fair value measurement accounting standard, ASC Topic 820,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b w:val="1"/>
          <w:bCs w:val="1"/>
          <w:color w:val="auto"/>
        </w:rPr>
        <w:t xml:space="preserve"> </w:t>
      </w:r>
      <w:r>
        <w:rPr>
          <w:rFonts w:ascii="Arial" w:cs="Arial" w:eastAsia="Arial" w:hAnsi="Arial"/>
          <w:sz w:val="17"/>
          <w:szCs w:val="17"/>
          <w:color w:val="auto"/>
        </w:rPr>
        <w:t>(“ASC 820”), provides a</w:t>
      </w:r>
      <w:r>
        <w:rPr>
          <w:rFonts w:ascii="Arial" w:cs="Arial" w:eastAsia="Arial" w:hAnsi="Arial"/>
          <w:sz w:val="17"/>
          <w:szCs w:val="17"/>
          <w:b w:val="1"/>
          <w:bCs w:val="1"/>
          <w:color w:val="auto"/>
        </w:rPr>
        <w:t xml:space="preserve"> </w:t>
      </w:r>
      <w:r>
        <w:rPr>
          <w:rFonts w:ascii="Arial" w:cs="Arial" w:eastAsia="Arial" w:hAnsi="Arial"/>
          <w:sz w:val="17"/>
          <w:szCs w:val="17"/>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151" w:lineRule="exact"/>
        <w:rPr>
          <w:sz w:val="20"/>
          <w:szCs w:val="20"/>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1060" w:right="180" w:hanging="323"/>
        <w:spacing w:after="0" w:line="250"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9"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b w:val="1"/>
          <w:bCs w:val="1"/>
          <w:color w:val="auto"/>
        </w:rPr>
        <w:t xml:space="preserve">Recently-Adopted Accounting Pronouncements </w:t>
      </w:r>
      <w:r>
        <w:rPr>
          <w:rFonts w:ascii="Arial" w:cs="Arial" w:eastAsia="Arial" w:hAnsi="Arial"/>
          <w:sz w:val="17"/>
          <w:szCs w:val="17"/>
          <w:color w:val="auto"/>
        </w:rPr>
        <w:t>— 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Credit Losses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326): Measurement of Credit Losses on Financial Instruments</w:t>
      </w:r>
      <w:r>
        <w:rPr>
          <w:rFonts w:ascii="Arial" w:cs="Arial" w:eastAsia="Arial" w:hAnsi="Arial"/>
          <w:sz w:val="17"/>
          <w:szCs w:val="17"/>
          <w:color w:val="auto"/>
        </w:rPr>
        <w:t>, which requires measurement and recognition of expected credit losses for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held. The amendments in ASU 2016-13 eliminate the probable threshold for initial recognition of a credit loss in current GAAP and reflect an entity’s current estimate of all expected credit losses. ASU 2016-13 is effective for interim and annual reporting periods beginning after December 15, 2019 and is to be applied using a modified retrospective transition method. The Company adopted the standard as of January 1, 2020.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19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 xml:space="preserve">Merger with BioScrip, Inc. </w:t>
      </w:r>
      <w:r>
        <w:rPr>
          <w:rFonts w:ascii="Arial" w:cs="Arial" w:eastAsia="Arial" w:hAnsi="Arial"/>
          <w:sz w:val="18"/>
          <w:szCs w:val="18"/>
          <w:color w:val="auto"/>
        </w:rPr>
        <w:t>— As discussed in Note 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Operations and Presentation of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Care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BioScrip on August 6, 2019. BioScrip was a national provider of infusion and home care management solutions. The Merger of Option Care and BioScrip into Option Care Health created an expanded national platform and the opportunity to drive economies of scale through procurement savings, facility rationalization and other operating cost savings.</w:t>
      </w:r>
    </w:p>
    <w:p>
      <w:pPr>
        <w:spacing w:after="0" w:line="14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fair value of purchase consideration transferred on the closing date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 The fair value per share of BioScrip’s common stock was $2.67 per share. This is the closing price of the BioScrip common stock on August 6,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acquisition method of accounting, the calculation of total consideration exchanged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Amount</w:t>
            </w:r>
          </w:p>
        </w:tc>
      </w:tr>
      <w:tr>
        <w:trPr>
          <w:trHeight w:val="188"/>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BioScrip common shares outstanding at time of the Merger (1)</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129,181</w:t>
            </w:r>
          </w:p>
        </w:tc>
      </w:tr>
      <w:tr>
        <w:trPr>
          <w:trHeight w:val="186"/>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shares issued to warrant and preferred stockholders at time of the Merger (1)</w:t>
            </w: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r>
      <w:tr>
        <w:trPr>
          <w:trHeight w:val="186"/>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shares of BioScrip common stock outstanding at time of the Merger (1)</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132,639</w:t>
            </w:r>
          </w:p>
        </w:tc>
      </w:tr>
      <w:tr>
        <w:trPr>
          <w:trHeight w:val="186"/>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BioScrip share price as of August 6, 2019</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186"/>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shares</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354,146</w:t>
            </w:r>
          </w:p>
        </w:tc>
      </w:tr>
      <w:tr>
        <w:trPr>
          <w:trHeight w:val="186"/>
        </w:trPr>
        <w:tc>
          <w:tcPr>
            <w:tcW w:w="9060" w:type="dxa"/>
            <w:vAlign w:val="bottom"/>
          </w:tcPr>
          <w:p>
            <w:pPr>
              <w:ind w:left="20"/>
              <w:spacing w:after="0"/>
              <w:rPr>
                <w:sz w:val="20"/>
                <w:szCs w:val="20"/>
                <w:color w:val="auto"/>
              </w:rPr>
            </w:pPr>
            <w:r>
              <w:rPr>
                <w:rFonts w:ascii="Arial" w:cs="Arial" w:eastAsia="Arial" w:hAnsi="Arial"/>
                <w:sz w:val="14"/>
                <w:szCs w:val="14"/>
                <w:color w:val="auto"/>
              </w:rPr>
              <w:t>Fair value of share-based instruments</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32,898</w:t>
            </w:r>
          </w:p>
        </w:tc>
      </w:tr>
      <w:tr>
        <w:trPr>
          <w:trHeight w:val="19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in conjunction with the Merger included in purchase consideration</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714,957</w:t>
            </w:r>
          </w:p>
        </w:tc>
      </w:tr>
      <w:tr>
        <w:trPr>
          <w:trHeight w:val="179"/>
        </w:trPr>
        <w:tc>
          <w:tcPr>
            <w:tcW w:w="9060" w:type="dxa"/>
            <w:vAlign w:val="bottom"/>
          </w:tcPr>
          <w:p>
            <w:pPr>
              <w:ind w:left="20"/>
              <w:spacing w:after="0"/>
              <w:rPr>
                <w:sz w:val="20"/>
                <w:szCs w:val="20"/>
                <w:color w:val="auto"/>
              </w:rPr>
            </w:pPr>
            <w:r>
              <w:rPr>
                <w:rFonts w:ascii="Arial" w:cs="Arial" w:eastAsia="Arial" w:hAnsi="Arial"/>
                <w:sz w:val="14"/>
                <w:szCs w:val="14"/>
                <w:color w:val="auto"/>
              </w:rPr>
              <w:t>Fair value of total consideration transferred</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1,102,001</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14,787</w:t>
            </w:r>
          </w:p>
        </w:tc>
      </w:tr>
      <w:tr>
        <w:trPr>
          <w:trHeight w:val="186"/>
        </w:trPr>
        <w:tc>
          <w:tcPr>
            <w:tcW w:w="9060" w:type="dxa"/>
            <w:vAlign w:val="bottom"/>
          </w:tcPr>
          <w:p>
            <w:pPr>
              <w:ind w:left="20"/>
              <w:spacing w:after="0"/>
              <w:rPr>
                <w:sz w:val="20"/>
                <w:szCs w:val="20"/>
                <w:color w:val="auto"/>
              </w:rPr>
            </w:pPr>
            <w:r>
              <w:rPr>
                <w:rFonts w:ascii="Arial" w:cs="Arial" w:eastAsia="Arial" w:hAnsi="Arial"/>
                <w:sz w:val="14"/>
                <w:szCs w:val="14"/>
                <w:color w:val="auto"/>
              </w:rPr>
              <w:t>Fair value of total consideration acquired, net of cash acquired</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1,087,214</w:t>
            </w:r>
          </w:p>
        </w:tc>
      </w:tr>
      <w:tr>
        <w:trPr>
          <w:trHeight w:val="21"/>
        </w:trPr>
        <w:tc>
          <w:tcPr>
            <w:tcW w:w="9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These shares were not adjusted for the one share for four share reverse stock split, which occurred on February 3, 2020.</w:t>
      </w:r>
    </w:p>
    <w:p>
      <w:pPr>
        <w:spacing w:after="0" w:line="18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Cash paid in conjunction with the Merger includes payments made for settlement of $575.0 million in legacy BioScrip debt, $125.8 million in existing BioScrip preferred shares, and $14.1 million in legacy BioScrip success-based fees owed to third-party advisors. HC II financed these payments primarily through cash on hand and debt financing, which is discussed in Note 11,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allocation of consideration exchanged to the net tangible and intangible assets acquired and liabilities assumed, net of cash acquired, in the Merger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Amount</w:t>
            </w:r>
          </w:p>
        </w:tc>
      </w:tr>
      <w:tr>
        <w:trPr>
          <w:trHeight w:val="188"/>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 (1)</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96,532</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Inventories (2)</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19,683</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 (3)</w:t>
            </w:r>
          </w:p>
        </w:tc>
        <w:tc>
          <w:tcPr>
            <w:tcW w:w="4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48,732</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Intangible assets, net (4)</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193,245</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 of deferred tax liabilities (5)</w:t>
            </w:r>
          </w:p>
        </w:tc>
        <w:tc>
          <w:tcPr>
            <w:tcW w:w="4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26,731</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Operating lease right-of-use asset (6)</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22,378</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(6)</w:t>
            </w:r>
          </w:p>
        </w:tc>
        <w:tc>
          <w:tcPr>
            <w:tcW w:w="4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Accounts payable (7)</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(66,668)</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assumed liabilities, net of other acquired assets (7)</w:t>
            </w:r>
          </w:p>
        </w:tc>
        <w:tc>
          <w:tcPr>
            <w:tcW w:w="4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(20,663)</w:t>
            </w:r>
          </w:p>
        </w:tc>
      </w:tr>
      <w:tr>
        <w:trPr>
          <w:trHeight w:val="179"/>
        </w:trPr>
        <w:tc>
          <w:tcPr>
            <w:tcW w:w="5980" w:type="dxa"/>
            <w:vAlign w:val="bottom"/>
          </w:tcPr>
          <w:p>
            <w:pPr>
              <w:ind w:left="220"/>
              <w:spacing w:after="0"/>
              <w:rPr>
                <w:sz w:val="20"/>
                <w:szCs w:val="20"/>
                <w:color w:val="auto"/>
              </w:rPr>
            </w:pPr>
            <w:r>
              <w:rPr>
                <w:rFonts w:ascii="Arial" w:cs="Arial" w:eastAsia="Arial" w:hAnsi="Arial"/>
                <w:sz w:val="14"/>
                <w:szCs w:val="14"/>
                <w:color w:val="auto"/>
              </w:rPr>
              <w:t>Total acquired identifiable assets and liabilities</w:t>
            </w: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291,073</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(8)</w:t>
            </w:r>
          </w:p>
        </w:tc>
        <w:tc>
          <w:tcPr>
            <w:tcW w:w="4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796,141</w:t>
            </w:r>
          </w:p>
        </w:tc>
      </w:tr>
      <w:tr>
        <w:trPr>
          <w:trHeight w:val="186"/>
        </w:trPr>
        <w:tc>
          <w:tcPr>
            <w:tcW w:w="5980" w:type="dxa"/>
            <w:vAlign w:val="bottom"/>
          </w:tcPr>
          <w:p>
            <w:pPr>
              <w:ind w:left="220"/>
              <w:spacing w:after="0"/>
              <w:rPr>
                <w:sz w:val="20"/>
                <w:szCs w:val="20"/>
                <w:color w:val="auto"/>
              </w:rPr>
            </w:pPr>
            <w:r>
              <w:rPr>
                <w:rFonts w:ascii="Arial" w:cs="Arial" w:eastAsia="Arial" w:hAnsi="Arial"/>
                <w:sz w:val="14"/>
                <w:szCs w:val="14"/>
                <w:color w:val="auto"/>
              </w:rPr>
              <w:t>Total consideration transferred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1,087,214</w:t>
            </w:r>
          </w:p>
        </w:tc>
      </w:tr>
      <w:tr>
        <w:trPr>
          <w:trHeight w:val="21"/>
        </w:trPr>
        <w:tc>
          <w:tcPr>
            <w:tcW w:w="5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has valued accounts receivables based on the estimated future collectability of the receivables portfolio.</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Inventories are stated at fair value as of the Merger Date.</w:t>
      </w:r>
    </w:p>
    <w:p>
      <w:pPr>
        <w:spacing w:after="0" w:line="9" w:lineRule="exact"/>
        <w:rPr>
          <w:rFonts w:ascii="Arial" w:cs="Arial" w:eastAsia="Arial" w:hAnsi="Arial"/>
          <w:sz w:val="18"/>
          <w:szCs w:val="18"/>
          <w:color w:val="auto"/>
        </w:rPr>
      </w:pPr>
    </w:p>
    <w:p>
      <w:pPr>
        <w:ind w:left="740" w:right="280" w:hanging="327"/>
        <w:spacing w:after="0" w:line="265" w:lineRule="auto"/>
        <w:tabs>
          <w:tab w:leader="none" w:pos="73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fair value of the property and equipment was determined based upon the best and highest use of the property with final values determined based upon an analysis of the cost, sales comparison, and income capitalization approaches for each property appraised.</w:t>
      </w: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allocation of consideration exchanged to intangible assets acquired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Weighted Average Estimated</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Trademarks/Names</w:t>
            </w:r>
          </w:p>
        </w:tc>
        <w:tc>
          <w:tcPr>
            <w:tcW w:w="142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12,536</w:t>
            </w: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Patient referral sources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180,329</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Licenses</w:t>
            </w:r>
          </w:p>
        </w:tc>
        <w:tc>
          <w:tcPr>
            <w:tcW w:w="14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Total intangible assets, net</w:t>
            </w:r>
          </w:p>
        </w:tc>
        <w:tc>
          <w:tcPr>
            <w:tcW w:w="142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193,245</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40" w:right="560"/>
        <w:spacing w:after="0" w:line="277" w:lineRule="auto"/>
        <w:rPr>
          <w:sz w:val="20"/>
          <w:szCs w:val="20"/>
          <w:color w:val="auto"/>
        </w:rPr>
      </w:pPr>
      <w:r>
        <w:rPr>
          <w:rFonts w:ascii="Arial" w:cs="Arial" w:eastAsia="Arial" w:hAnsi="Arial"/>
          <w:sz w:val="18"/>
          <w:szCs w:val="18"/>
          <w:color w:val="auto"/>
        </w:rPr>
        <w:t>The Company valued trademarks/names utilizing the relief of royalty method and patient referral sources utilizing the multi-period excess earnings method, a form of the income approach.</w:t>
      </w:r>
    </w:p>
    <w:p>
      <w:pPr>
        <w:spacing w:after="0" w:line="143" w:lineRule="exact"/>
        <w:rPr>
          <w:sz w:val="20"/>
          <w:szCs w:val="20"/>
          <w:color w:val="auto"/>
        </w:rPr>
      </w:pPr>
    </w:p>
    <w:p>
      <w:pPr>
        <w:jc w:val="both"/>
        <w:ind w:left="740" w:right="140" w:hanging="327"/>
        <w:spacing w:after="0" w:line="255" w:lineRule="auto"/>
        <w:tabs>
          <w:tab w:leader="none" w:pos="7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Net deferred tax assets represented the expected future tax consequences of temporary differences between the fair values of the assets acquired and liabilities assumed and their tax bases. See Note 6,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discussion of the Company’s combined income tax position subsequent to the Merger.</w:t>
      </w:r>
    </w:p>
    <w:p>
      <w:pPr>
        <w:spacing w:after="0" w:line="2" w:lineRule="exact"/>
        <w:rPr>
          <w:rFonts w:ascii="Arial" w:cs="Arial" w:eastAsia="Arial" w:hAnsi="Arial"/>
          <w:sz w:val="18"/>
          <w:szCs w:val="18"/>
          <w:color w:val="auto"/>
        </w:rPr>
      </w:pPr>
    </w:p>
    <w:p>
      <w:pPr>
        <w:ind w:left="740" w:right="420" w:hanging="327"/>
        <w:spacing w:after="0" w:line="250" w:lineRule="auto"/>
        <w:tabs>
          <w:tab w:leader="none" w:pos="7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value of the operating lease liability and corresponding right-of-use asset (current and long-term) was based on current market rates available to the Company.</w:t>
      </w:r>
    </w:p>
    <w:p>
      <w:pPr>
        <w:ind w:left="740" w:hanging="32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Accounts payable as well as certain other current and non-current assets and liabilities are stated at fair value as of the Merger Date.</w:t>
      </w:r>
    </w:p>
    <w:p>
      <w:pPr>
        <w:spacing w:after="0" w:line="20" w:lineRule="exact"/>
        <w:rPr>
          <w:rFonts w:ascii="Arial" w:cs="Arial" w:eastAsia="Arial" w:hAnsi="Arial"/>
          <w:sz w:val="17"/>
          <w:szCs w:val="17"/>
          <w:color w:val="auto"/>
        </w:rPr>
      </w:pPr>
    </w:p>
    <w:p>
      <w:pPr>
        <w:ind w:left="740" w:right="20" w:hanging="327"/>
        <w:spacing w:after="0" w:line="323" w:lineRule="auto"/>
        <w:tabs>
          <w:tab w:leader="none" w:pos="7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Merger resulted in $796.1 million of goodwill, which is attributable to cost synergies resulting from procurement and operational efficiencies and elimination of duplicative administrative costs. The goodwill created in the Merger is not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Assuming BioScrip had been acquired as of January 1, 2018, and the results of BioScrip had been included in operations beginning on January 1, 2018, the following tables provide estimated unaudited pro forma results of operations for the years ended December 31, 2019 and 2018 (in thousands). The estimated pro forma net income adjusts for the effect of fair value adjustments related to the Merger, transaction costs and other non-recurring costs directly attributable to the Merger and the impact of the additional debt to finance the Merger.</w:t>
      </w:r>
    </w:p>
    <w:p>
      <w:pPr>
        <w:spacing w:after="0" w:line="203"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186"/>
        </w:trPr>
        <w:tc>
          <w:tcPr>
            <w:tcW w:w="34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w w:val="96"/>
              </w:rPr>
              <w:t>2018</w:t>
            </w: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2,755,361</w:t>
            </w:r>
          </w:p>
        </w:tc>
        <w:tc>
          <w:tcPr>
            <w:tcW w:w="12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2,648,694</w:t>
            </w: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(70,932)</w:t>
            </w:r>
          </w:p>
        </w:tc>
      </w:tr>
    </w:tbl>
    <w:p>
      <w:pPr>
        <w:spacing w:after="0" w:line="16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Estimated unaudited pro forma information is not necessarily indicative of the results that actually would have occurred had the Merger been completed on the date indicated or the future operating results.</w:t>
      </w:r>
    </w:p>
    <w:p>
      <w:pPr>
        <w:spacing w:after="0" w:line="14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periods subsequent to the Merger Date that are included in the results of operations for the year ended December 31, 2019, BioScrip had net revenue of $308.9 million and a net loss of $30.1 million.</w:t>
      </w:r>
    </w:p>
    <w:p>
      <w:pPr>
        <w:spacing w:after="0" w:line="13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Acquisition-related costs were expensed as incurred, with the exception of BioScrip success-based fees that are included in consideration transferred. The Company recorded transaction costs that are expensed in selling, general and administrative expenses during the year ended December 31, 2019 of approximately $25.8 million. Transaction expenses consisted of professional fees for advisory, consulting and underwriting services as well as other incremental costs directly related to the acquisition.</w:t>
      </w:r>
    </w:p>
    <w:p>
      <w:pPr>
        <w:spacing w:after="0" w:line="142"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 xml:space="preserve">Baptist Health Asset Acquisition </w:t>
      </w:r>
      <w:r>
        <w:rPr>
          <w:rFonts w:ascii="Arial" w:cs="Arial" w:eastAsia="Arial" w:hAnsi="Arial"/>
          <w:sz w:val="18"/>
          <w:szCs w:val="18"/>
          <w:color w:val="auto"/>
        </w:rPr>
        <w:t>— In August 2018, pursuant to the Purchase and Sale Agreement dated August 8, 2018, Option Care completed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certain assets of Baptist Health in Little Rock, Arkansas for a purchase price of $1.0 million.</w:t>
      </w:r>
    </w:p>
    <w:p>
      <w:pPr>
        <w:spacing w:after="0" w:line="135"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b w:val="1"/>
          <w:bCs w:val="1"/>
          <w:color w:val="auto"/>
        </w:rPr>
        <w:t xml:space="preserve">Home I.V. Specialists, Inc. Acquisition </w:t>
      </w:r>
      <w:r>
        <w:rPr>
          <w:rFonts w:ascii="Arial" w:cs="Arial" w:eastAsia="Arial" w:hAnsi="Arial"/>
          <w:sz w:val="16"/>
          <w:szCs w:val="16"/>
          <w:color w:val="auto"/>
        </w:rPr>
        <w:t>— In September 2018, pursuant to the Stock Purchase Agreement dated September 18, 2018, Option Care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the acquisition of 100% of the outstanding shares of Home I.V. Specialists, Inc. (“Home I.V.”) for a purchase price of $11.6 million, net of cash acquired. The total consideration was comprised of cash paid of $9.8 million and a contingent payment of $1.8 million payable one year after the acquisition date. During the year ended December 31, 2019, the Company reduced the contingent liability by $0.3 million. During the year ended December 31, 2020, the Company determined that the contingent payment was not payable and reduced the remaining contingent liability by $1.5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net revenue earned by category of payer for the years ended December 31, 2020, 2019 and 2018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3"/>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5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2,542,985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2,001,105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1,699,450</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450,067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285,128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217,876</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39,558</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22,465</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3,032,610</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2,310,417</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1,939,791</w:t>
            </w:r>
          </w:p>
        </w:tc>
      </w:tr>
      <w:tr>
        <w:trPr>
          <w:trHeight w:val="21"/>
        </w:trPr>
        <w:tc>
          <w:tcPr>
            <w:tcW w:w="5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a 401(k) plan and matches 100% of employee contributions, up to 4% of employee compensation. The Company recorded expense for the defined contribution plan of $9.7 million, $6.4 million and $6.3 million for the years ended December 31, 2020, 2019 and 2018, respectively. In the years ended December 31, 2020, 2019 and 2018, Company contributions of $8.9 million, $6.6 million and $6.3 million, respectively,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expense (benefit) consists of the following for the years ended December 31, 2020, 2019 and 2018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income tax expense (benefit):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Current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w:t>
            </w:r>
          </w:p>
        </w:tc>
      </w:tr>
      <w:tr>
        <w:trPr>
          <w:trHeight w:val="209"/>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income tax expense (benefit):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Current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09"/>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difference between the statutory federal income tax rate and the effective tax rate is as follows for the years ended December 31, 2020, 2019 and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statutory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tax benefit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(29.5)</w:t>
            </w:r>
          </w:p>
        </w:tc>
        <w:tc>
          <w:tcPr>
            <w:tcW w:w="16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2.4</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0.0</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compensation</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Changes in uncertain tax positions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14.7</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components of deferred income tax assets and liabilities using the 21% U.S. Federal statutory tax rate were as follows as of December 31, 2020 and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19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Price concessions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6,907</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12,302</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Interest limitation carryforward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38,623</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19,462</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Net operating losses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155,922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147,749</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5,506</w:t>
            </w:r>
          </w:p>
        </w:tc>
      </w:tr>
      <w:tr>
        <w:trPr>
          <w:trHeight w:val="207"/>
        </w:trPr>
        <w:tc>
          <w:tcPr>
            <w:tcW w:w="5760" w:type="dxa"/>
            <w:vAlign w:val="bottom"/>
          </w:tcPr>
          <w:p>
            <w:pPr>
              <w:ind w:left="480"/>
              <w:spacing w:after="0"/>
              <w:rPr>
                <w:sz w:val="20"/>
                <w:szCs w:val="20"/>
                <w:color w:val="auto"/>
              </w:rPr>
            </w:pPr>
            <w:r>
              <w:rPr>
                <w:rFonts w:ascii="Arial" w:cs="Arial" w:eastAsia="Arial" w:hAnsi="Arial"/>
                <w:sz w:val="16"/>
                <w:szCs w:val="16"/>
                <w:color w:val="auto"/>
              </w:rPr>
              <w:t>Deferred tax assets before valuation allowance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237,307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227,314</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(112,085)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(109,531)</w:t>
            </w:r>
          </w:p>
        </w:tc>
      </w:tr>
      <w:tr>
        <w:trPr>
          <w:trHeight w:val="20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 of valuation allowance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125,222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117,783</w:t>
            </w:r>
          </w:p>
        </w:tc>
      </w:tr>
      <w:tr>
        <w:trPr>
          <w:trHeight w:val="253"/>
        </w:trPr>
        <w:tc>
          <w:tcPr>
            <w:tcW w:w="5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Accelerated depreciation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Operating lease right-of-use asset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(15,442)</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(71,204)</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(20,250)</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(2,654)</w:t>
            </w:r>
          </w:p>
        </w:tc>
      </w:tr>
      <w:tr>
        <w:trPr>
          <w:trHeight w:val="20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(128,561)</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(119,926)</w:t>
            </w: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As a result of the Merger, the Company recorded a full valuation allowance against all of its net U.S. federal and state deferred tax assets except for certain state net operating losses (“NOL”) which were estimated to be $0.4 million as of December 31, 2020. The initial recognition of this valuation allowance by the Company was reflected in the opening balance sheet of BioScrip and, to that extent, did not impact the Company’s tax expense (benefit) for the years ended December 31, 2020 and 2019. The valuation allowance for deferred tax assets as of December 31, 2020 was $112.1 million.</w:t>
      </w:r>
    </w:p>
    <w:p>
      <w:pPr>
        <w:spacing w:after="0" w:line="11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the positive and negative evidence in determining if the valuation allowance is fairly stated.</w:t>
      </w:r>
    </w:p>
    <w:p>
      <w:pPr>
        <w:spacing w:after="0" w:line="136"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The Company is subject to taxation in the United States and various states. As a result of the Merger, BioScrip carried over $458.9 million of federal net operating losses, $479.6 million of state net operating losses, and $85.0 million of interest limitation carryforwards. At December 31, 2020, the Company had $577.9 million of gross federal NOL carryforwards of which $438.1 million are available to offset future taxable income in the United States. These NOL’s will begin to expire in 2026 if not utilized. The remaining gross federal NOL’s of $139.8 million at December 31, 2020 are expected to expire unutilized due to limitations under Internal Revenue Code Section 382. At December 31, 2019, the Company had $548.0 million of gross federal NOL’s. At December 31, 2020 and 2019, the Company had $154.8 million and $145.6 million of interest limitation carryforwards. At December 31, 2020 and 2019, the Company also had $600.1 million and $578.5 million of cumulative gross state NOL carryforwards available to offset future taxable income in various states. These state NOL’s will begin to expire starting in 2021 if not utilized.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and 2019, the unrecognized tax benefits for uncertain tax positions was $0.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valuation allowance for deferred tax assets for the years ended December 31, 2020, 2019 and 2018 (in thousands):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880" w:type="dxa"/>
            <w:vAlign w:val="bottom"/>
            <w:vMerge w:val="restart"/>
          </w:tcPr>
          <w:p>
            <w:pPr>
              <w:spacing w:after="0"/>
              <w:rPr>
                <w:sz w:val="20"/>
                <w:szCs w:val="20"/>
                <w:color w:val="auto"/>
              </w:rPr>
            </w:pPr>
            <w:r>
              <w:rPr>
                <w:rFonts w:ascii="Arial" w:cs="Arial" w:eastAsia="Arial" w:hAnsi="Arial"/>
                <w:sz w:val="16"/>
                <w:szCs w:val="16"/>
                <w:color w:val="auto"/>
              </w:rPr>
              <w:t>Description</w:t>
            </w:r>
          </w:p>
        </w:tc>
        <w:tc>
          <w:tcPr>
            <w:tcW w:w="2240" w:type="dxa"/>
            <w:vAlign w:val="bottom"/>
            <w:gridSpan w:val="2"/>
          </w:tcPr>
          <w:p>
            <w:pPr>
              <w:ind w:left="700"/>
              <w:spacing w:after="0" w:line="159" w:lineRule="exact"/>
              <w:rPr>
                <w:sz w:val="20"/>
                <w:szCs w:val="20"/>
                <w:color w:val="auto"/>
              </w:rPr>
            </w:pPr>
            <w:r>
              <w:rPr>
                <w:rFonts w:ascii="Arial" w:cs="Arial" w:eastAsia="Arial" w:hAnsi="Arial"/>
                <w:sz w:val="16"/>
                <w:szCs w:val="16"/>
                <w:color w:val="auto"/>
              </w:rPr>
              <w:t>Balance at Beginning</w:t>
            </w:r>
          </w:p>
        </w:tc>
        <w:tc>
          <w:tcPr>
            <w:tcW w:w="1480" w:type="dxa"/>
            <w:vAlign w:val="bottom"/>
            <w:gridSpan w:val="2"/>
          </w:tcPr>
          <w:p>
            <w:pPr>
              <w:jc w:val="right"/>
              <w:ind w:right="17"/>
              <w:spacing w:after="0" w:line="159" w:lineRule="exact"/>
              <w:rPr>
                <w:sz w:val="20"/>
                <w:szCs w:val="20"/>
                <w:color w:val="auto"/>
              </w:rPr>
            </w:pPr>
            <w:r>
              <w:rPr>
                <w:rFonts w:ascii="Arial" w:cs="Arial" w:eastAsia="Arial" w:hAnsi="Arial"/>
                <w:sz w:val="16"/>
                <w:szCs w:val="16"/>
                <w:color w:val="auto"/>
                <w:w w:val="94"/>
              </w:rPr>
              <w:t>Charged (Benefit) to</w:t>
            </w:r>
          </w:p>
        </w:tc>
        <w:tc>
          <w:tcPr>
            <w:tcW w:w="200" w:type="dxa"/>
            <w:vAlign w:val="bottom"/>
          </w:tcPr>
          <w:p>
            <w:pPr>
              <w:spacing w:after="0"/>
              <w:rPr>
                <w:sz w:val="13"/>
                <w:szCs w:val="13"/>
                <w:color w:val="auto"/>
              </w:rPr>
            </w:pPr>
          </w:p>
        </w:tc>
        <w:tc>
          <w:tcPr>
            <w:tcW w:w="1320" w:type="dxa"/>
            <w:vAlign w:val="bottom"/>
          </w:tcPr>
          <w:p>
            <w:pPr>
              <w:jc w:val="right"/>
              <w:ind w:right="99"/>
              <w:spacing w:after="0" w:line="159" w:lineRule="exact"/>
              <w:rPr>
                <w:sz w:val="20"/>
                <w:szCs w:val="20"/>
                <w:color w:val="auto"/>
              </w:rPr>
            </w:pPr>
            <w:r>
              <w:rPr>
                <w:rFonts w:ascii="Arial" w:cs="Arial" w:eastAsia="Arial" w:hAnsi="Arial"/>
                <w:sz w:val="16"/>
                <w:szCs w:val="16"/>
                <w:color w:val="auto"/>
                <w:w w:val="90"/>
              </w:rPr>
              <w:t>Charged to Other</w:t>
            </w:r>
          </w:p>
        </w:tc>
        <w:tc>
          <w:tcPr>
            <w:tcW w:w="260" w:type="dxa"/>
            <w:vAlign w:val="bottom"/>
          </w:tcPr>
          <w:p>
            <w:pPr>
              <w:spacing w:after="0"/>
              <w:rPr>
                <w:sz w:val="13"/>
                <w:szCs w:val="13"/>
                <w:color w:val="auto"/>
              </w:rPr>
            </w:pPr>
          </w:p>
        </w:tc>
        <w:tc>
          <w:tcPr>
            <w:tcW w:w="1280" w:type="dxa"/>
            <w:vAlign w:val="bottom"/>
          </w:tcPr>
          <w:p>
            <w:pPr>
              <w:jc w:val="right"/>
              <w:ind w:right="139"/>
              <w:spacing w:after="0" w:line="159" w:lineRule="exact"/>
              <w:rPr>
                <w:sz w:val="20"/>
                <w:szCs w:val="20"/>
                <w:color w:val="auto"/>
              </w:rPr>
            </w:pPr>
            <w:r>
              <w:rPr>
                <w:rFonts w:ascii="Arial" w:cs="Arial" w:eastAsia="Arial" w:hAnsi="Arial"/>
                <w:sz w:val="16"/>
                <w:szCs w:val="16"/>
                <w:color w:val="auto"/>
                <w:w w:val="95"/>
              </w:rPr>
              <w:t>Balance at End</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of Period</w:t>
            </w:r>
          </w:p>
        </w:tc>
        <w:tc>
          <w:tcPr>
            <w:tcW w:w="14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6"/>
                <w:szCs w:val="16"/>
                <w:color w:val="auto"/>
                <w:w w:val="91"/>
              </w:rPr>
              <w:t>Costs and Expenses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Accounts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r>
        <w:trPr>
          <w:trHeight w:val="77"/>
        </w:trPr>
        <w:tc>
          <w:tcPr>
            <w:tcW w:w="3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2018: Valuation allowance for deferred tax assets</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1,263</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2019: Valuation allowance for deferred tax assets</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1,373</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15,395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92,763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109,531</w:t>
            </w:r>
          </w:p>
        </w:tc>
        <w:tc>
          <w:tcPr>
            <w:tcW w:w="0" w:type="dxa"/>
            <w:vAlign w:val="bottom"/>
          </w:tcPr>
          <w:p>
            <w:pPr>
              <w:spacing w:after="0"/>
              <w:rPr>
                <w:sz w:val="1"/>
                <w:szCs w:val="1"/>
                <w:color w:val="auto"/>
              </w:rPr>
            </w:pPr>
          </w:p>
        </w:tc>
      </w:tr>
      <w:tr>
        <w:trPr>
          <w:trHeight w:val="94"/>
        </w:trPr>
        <w:tc>
          <w:tcPr>
            <w:tcW w:w="3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2020: Valuation allowance for deferred tax assets</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109,531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1,549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112,085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Currently, the Company is not subject to any U.S. Federal income tax audits. The Company is subject to various state tax audits, and believes that the outcome of these audits will not have a material impact on the Company.</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recorded no income tax expense or benefit for the year ended December 31, 2020 associated with the tax provisions of the Coronavirus Aid, Relief and Economic Security Act (“CARES Act”). However, certain adjustments were made to the Company’s components of deferred tax assets and liabilities to reflect the tax provisions of the CARES Act. These adjustments were the result of the CARES Act’s tax provisions associated with interest expense limitations and bonus depreciation on leasehold improvements. These adjustments to the Company’s components of deferred tax assets and liabilities were offset by one another or the Company’s valuation allowance.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EARNINGS PER SHARE</w:t>
      </w:r>
    </w:p>
    <w:p>
      <w:pPr>
        <w:spacing w:after="0" w:line="202"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Company presents basic and diluted (loss) earnings per share for its common stock. Basic (loss) earnings per share is calculated by dividing the net (loss) income of the Company by the weighted average number of shares of common stock outstanding during the period. Diluted (loss) earnings per share is determined by adjusting the profit or loss and the weighted average number of shares of common stock outstanding for the effects of all dilutive potential common shares.</w:t>
      </w:r>
    </w:p>
    <w:p>
      <w:pPr>
        <w:spacing w:after="0" w:line="18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Merger, all historical per share data and number of shares and equity awards were retroactively adjusted. The (loss) earnings is used as the basis of determining whether the inclusion of common stock equivalents would be anti-dilutive. Accordingly, the computation of diluted shares for the years ended December 31, 2020 and 2019 excludes the effect of shares that would be issued in connection with warrants, stock options and restricted stock awards, as their inclusion would be anti-dilutive to the loss per share. As of December 31, 2020 there were 2,285,784 warrants, 412,831 stock options and 549,650 restricted stock awards outstanding that were excluded from the calculation as they would be anti-dilutive. As of December 31, 2019 there were 2,328,120 warrants, 644,975 stock options and 231,562 restricted stock awards outstanding that were excluded from the calculation as they were anti-dilutive. There were no dilutive potential common shares for the years ended December 31,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basic and diluted (loss) earnings per share and shares outstanding (in thousands,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156,280</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per common share,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January 1, 2018, the Company adopted ASC 842, Leases, using an optional transition method that permitted application of the standards as of the effective date without requiring the standard to be applied to the comparative periods presented in the consolidated financial statements. The Company elected the transition package of three practical expedients, which allowed the Company not to reassess prior conclusions about lease identification, lease classification and initial, direct costs. The Company did not elect the practical expedient to use hindsight and accordingly, the initial lease term did not differ under the new standards versus prior accounting practice.</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years ended December 31, 2020 and 2019, the Company incurred operating lease expenses of $30.8 million and $25.8 million including short-term lease expenses, which were included as a component of selling, general and administrative expenses in the consolidated statements of comprehensive income (loss). As of December 31, 2020, the weighted-average remaining lease term was 6.7 years and the weighted-average discount rate was 5.18%.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gridSpan w:val="2"/>
          </w:tcPr>
          <w:p>
            <w:pPr>
              <w:ind w:left="118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Minimum Payments</w:t>
            </w:r>
          </w:p>
        </w:tc>
      </w:tr>
      <w:tr>
        <w:trPr>
          <w:trHeight w:val="210"/>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23,770</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19,216</w:t>
            </w: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15,804</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11,684</w:t>
            </w: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9,369</w:t>
            </w:r>
          </w:p>
        </w:tc>
      </w:tr>
      <w:tr>
        <w:trPr>
          <w:trHeight w:val="21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and beyond</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30,168</w:t>
            </w:r>
          </w:p>
        </w:tc>
      </w:tr>
      <w:tr>
        <w:trPr>
          <w:trHeight w:val="207"/>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110,011</w:t>
            </w: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(20,349)</w:t>
            </w: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89,662</w:t>
            </w:r>
          </w:p>
        </w:tc>
      </w:tr>
      <w:tr>
        <w:trPr>
          <w:trHeight w:val="21"/>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During the year ended December 31, 2020, the Company commenced new leases, extensions and amendments, resulting in non-cash investing and financing activities in the consolidated statements of cash flows of $29.1 million related to the increases in the operating lease right-of-use asset and operating lease liabilities, respectively. During the year ended December 31, 2019, the Company did not enter into any significant new operating or financing leases. As of December 31, 2020, the Company did not have any significant operating or financing leases that had not yet commenced.</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 xml:space="preserve">During the year ended December 31, 2018, the Company incurred rent expense of $17.3 million, under ASC Topic 840, </w:t>
      </w:r>
      <w:r>
        <w:rPr>
          <w:rFonts w:ascii="Arial" w:cs="Arial" w:eastAsia="Arial" w:hAnsi="Arial"/>
          <w:sz w:val="17"/>
          <w:szCs w:val="17"/>
          <w:i w:val="1"/>
          <w:iCs w:val="1"/>
          <w:color w:val="auto"/>
        </w:rPr>
        <w:t>Leases</w:t>
      </w:r>
      <w:r>
        <w:rPr>
          <w:rFonts w:ascii="Arial" w:cs="Arial" w:eastAsia="Arial" w:hAnsi="Arial"/>
          <w:sz w:val="17"/>
          <w:szCs w:val="17"/>
          <w:color w:val="auto"/>
        </w:rPr>
        <w:t>, which was included as a component of selling, general and administrative expenses in the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December 31, 2020 and 2019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Pr>
          <w:p>
            <w:pPr>
              <w:spacing w:after="0"/>
              <w:rPr>
                <w:sz w:val="18"/>
                <w:szCs w:val="18"/>
                <w:color w:val="auto"/>
              </w:rPr>
            </w:pPr>
          </w:p>
        </w:tc>
        <w:tc>
          <w:tcPr>
            <w:tcW w:w="18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30,416</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47,886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51,454</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80,916</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27,799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34,884</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14,150</w:t>
            </w:r>
          </w:p>
        </w:tc>
      </w:tr>
      <w:tr>
        <w:trPr>
          <w:trHeight w:val="209"/>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205,639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211,820</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78,622</w:t>
            </w:r>
          </w:p>
        </w:tc>
      </w:tr>
      <w:tr>
        <w:trPr>
          <w:trHeight w:val="212"/>
        </w:trPr>
        <w:tc>
          <w:tcPr>
            <w:tcW w:w="4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133,198</w:t>
            </w:r>
          </w:p>
        </w:tc>
      </w:tr>
      <w:tr>
        <w:trPr>
          <w:trHeight w:val="21"/>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2020, 2019 and 2018 (in thousands):</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w:t>
            </w:r>
          </w:p>
        </w:tc>
      </w:tr>
      <w:tr>
        <w:trPr>
          <w:trHeight w:val="21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36,180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18,490</w:t>
            </w:r>
          </w:p>
        </w:tc>
      </w:tr>
      <w:tr>
        <w:trPr>
          <w:trHeight w:val="233"/>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42,766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During the year ended December 31, 2018, one company location was destroyed by a hurricane, resulting in a loss of $0.6 million of property and equipment. A business casualty loss was recorded as a component of operating costs and expenses within the consolidated statements of comprehensive income (loss). During the year ended December 31, 2019, $0.6 million in proceeds were received related to recovery of property and equipment. These proceeds resulted in a gain on business casualty loss of $0.6 million recorded as a component of selling, general, and administrative expenses in the consolidated statements of comprehensive income (loss) during the year ended December 31, 2019. These proceeds were reflected as a component of cash flows from investing activities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 qualitative impairment analysis was performed in the fourth quarter of 2020 and 2019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2020 or 2019.</w:t>
      </w:r>
    </w:p>
    <w:p>
      <w:pPr>
        <w:spacing w:after="0" w:line="16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quantitative impairment analysis was performed in the fourth quarter of 2018, and the Company estimated the fair value of its reporting unit using an income approach. The income approach requires management to estimate a number of factors for its reporting unit, including projected future operating results, economic projections, anticipated future cash flows, and discount rates. The fair value determined using the income approach was then compared to marketplace fair value data from within a comparable industry grouping for reasonableness. The Company determined that there was no goodwill impairment in 2018.</w:t>
      </w:r>
    </w:p>
    <w:p>
      <w:pPr>
        <w:spacing w:after="0" w:line="14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determination of fair value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 of the following activity for the years ended December 31, 2020, 2019 and 2018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627,392</w:t>
            </w:r>
          </w:p>
        </w:tc>
      </w:tr>
      <w:tr>
        <w:trPr>
          <w:trHeight w:val="219"/>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5,077</w:t>
            </w: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632,469</w:t>
            </w:r>
          </w:p>
        </w:tc>
      </w:tr>
      <w:tr>
        <w:trPr>
          <w:trHeight w:val="219"/>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793,073</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accounting adjustments</w:t>
            </w:r>
          </w:p>
        </w:tc>
        <w:tc>
          <w:tcPr>
            <w:tcW w:w="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1,428,610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 and accumulated amortization of intangible assets consists of the following as of December 31, 2020 and 2019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Pr>
          <w:p>
            <w:pPr>
              <w:spacing w:after="0"/>
              <w:rPr>
                <w:sz w:val="18"/>
                <w:szCs w:val="18"/>
                <w:color w:val="auto"/>
              </w:rPr>
            </w:pPr>
          </w:p>
        </w:tc>
        <w:tc>
          <w:tcPr>
            <w:tcW w:w="18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 2019</w:t>
            </w:r>
          </w:p>
        </w:tc>
      </w:tr>
      <w:tr>
        <w:trPr>
          <w:trHeight w:val="199"/>
        </w:trPr>
        <w:tc>
          <w:tcPr>
            <w:tcW w:w="4020" w:type="dxa"/>
            <w:vAlign w:val="bottom"/>
          </w:tcPr>
          <w:p>
            <w:pPr>
              <w:ind w:left="20"/>
              <w:spacing w:after="0"/>
              <w:rPr>
                <w:sz w:val="20"/>
                <w:szCs w:val="20"/>
                <w:color w:val="auto"/>
              </w:rPr>
            </w:pPr>
            <w:r>
              <w:rPr>
                <w:rFonts w:ascii="Arial" w:cs="Arial" w:eastAsia="Arial" w:hAnsi="Arial"/>
                <w:sz w:val="16"/>
                <w:szCs w:val="16"/>
                <w:color w:val="auto"/>
              </w:rPr>
              <w:t>Gross intangible assets:</w:t>
            </w:r>
          </w:p>
        </w:tc>
        <w:tc>
          <w:tcPr>
            <w:tcW w:w="2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Trademarks/names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44,536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44,536</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amortizable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7"/>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gross intangible assets</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r>
      <w:tr>
        <w:trPr>
          <w:trHeight w:val="253"/>
        </w:trPr>
        <w:tc>
          <w:tcPr>
            <w:tcW w:w="4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(84,295)</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Trademarks/names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(21,146)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(12,748)</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amortizable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7"/>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accumulated amortization</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(97,149)</w:t>
            </w:r>
          </w:p>
        </w:tc>
      </w:tr>
      <w:tr>
        <w:trPr>
          <w:trHeight w:val="23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385,910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Amortization expense for intangible assets was $35.1 million, $26.1 million and $19.6 million for the years ended December 31, 2020, 2019 and 2018,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future amortization expense for intangible assets recorded at December 31, 2020, is as follows (in thousands):</w:t>
      </w:r>
    </w:p>
    <w:p>
      <w:pPr>
        <w:spacing w:after="0" w:line="239" w:lineRule="exact"/>
        <w:rPr>
          <w:sz w:val="20"/>
          <w:szCs w:val="20"/>
          <w:color w:val="auto"/>
        </w:rPr>
      </w:pPr>
    </w:p>
    <w:tbl>
      <w:tblPr>
        <w:tblLayout w:type="fixed"/>
        <w:tblInd w:w="2320" w:type="dxa"/>
        <w:tblCellMar>
          <w:top w:w="0" w:type="dxa"/>
          <w:left w:w="0" w:type="dxa"/>
          <w:bottom w:w="0" w:type="dxa"/>
          <w:right w:w="0" w:type="dxa"/>
        </w:tblCellMar>
      </w:tblP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32,015</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28,338</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28,338</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28,338</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28,338</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beyond</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205,685</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351,052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2020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915,750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888,787</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235,566</w:t>
            </w:r>
          </w:p>
        </w:tc>
      </w:tr>
      <w:tr>
        <w:trPr>
          <w:trHeight w:val="213"/>
        </w:trPr>
        <w:tc>
          <w:tcPr>
            <w:tcW w:w="39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1,161,531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1,124,353</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1,115,103</w:t>
            </w: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2019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(22,825)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893,776</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392,720</w:t>
            </w:r>
          </w:p>
        </w:tc>
      </w:tr>
      <w:tr>
        <w:trPr>
          <w:trHeight w:val="213"/>
        </w:trPr>
        <w:tc>
          <w:tcPr>
            <w:tcW w:w="39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1,337,256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1,286,496</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1,277,246</w:t>
            </w: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Retired Debt Obligations </w:t>
      </w:r>
      <w:r>
        <w:rPr>
          <w:rFonts w:ascii="Arial" w:cs="Arial" w:eastAsia="Arial" w:hAnsi="Arial"/>
          <w:sz w:val="17"/>
          <w:szCs w:val="17"/>
          <w:color w:val="auto"/>
        </w:rPr>
        <w:t>— Prior to the Merger, the Company had two credit arrangements that provided for up to $645.0 million in senior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facilities through an $80.0 million revolving credit facility (the “Previous Revolving Credit Facility”), a $415.0 million first lien term loan (the “Previous First Lien Term Loan”), and a $150.0 million second lien term loan (the “Previous Second Lien Term Loan”, and together with the Previous First Lien Term Loan, the “Previous Term Loans”, and the Previous Term Loans, together with the Previous Revolving Credit Facility, the “Previous Credit Facilities”). The principal balance on the Previous First Lien Term Loan was repayable in quarterly installments of $1.0 million.</w:t>
      </w:r>
    </w:p>
    <w:p>
      <w:pPr>
        <w:spacing w:after="0" w:line="13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August 6, 2019, the Company repaid the outstanding balance of Previous Term Loans and retired the outstanding Previous Credit Facilities by entering into two new credit arrangements and a notes indenture, described below under “New Debt Obligations”. The weighted average interest rate paid on the Previous First Lien Term Loan was 6.20% for the year ended December 31, 2019, prior to the retirement of the debt obligations. The weighted average interest paid on the Previous Second Lien Term Loan was 11.36% for the year ended December 31, 2019, prior to the retirement of the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New Debt Obligations </w:t>
      </w:r>
      <w:r>
        <w:rPr>
          <w:rFonts w:ascii="Arial" w:cs="Arial" w:eastAsia="Arial" w:hAnsi="Arial"/>
          <w:sz w:val="18"/>
          <w:szCs w:val="18"/>
          <w:color w:val="auto"/>
        </w:rPr>
        <w:t>— In conjunction with the Merger, the Company entered into an asset-based-lending revolving credit facility administered by</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America, N.A. The Company also issued senior secured second lien PIK toggle floating rate notes due 2027 (the “Second Lien Notes”) under an indenture with Ankura Trust Company, LLC. The two new credit agreements and the indenture were entered into on August 6, 2019 and initially provided for up to $1,475.0 million in senior secured credit facilities through a $150.0 million asset-based-lending revolving credit facility (the “ABL Facility”), a $925.0 million first lien term loan (the “First Lien Term Loan”, and together with the ABL Facility, the “Loan Facilities”), and a $400.0 million issuance of Second Lien Notes.</w:t>
      </w:r>
    </w:p>
    <w:p>
      <w:pPr>
        <w:spacing w:after="0" w:line="15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ABL Facility initially provided for borrowings up to $150.0 million, which matures on August 6, 2024. During the year ended December 31, 2020, the Company increased the borrowing capacity of its ABL Facility from $150.0 million to $175.0 million. The ABL Facility bears interest at a per annum rate initially provided that is determined by the Company’s periodic selection of rate type, either the Base Rate or the Eurocurrency Rate. Interest on the ABL Facility is charged on Base Rate loans at the greater of Base Rate, as defined, or 0.25% plus 1.25% to 1.75%, depending on the historical excess availability as a percentage of the Line Cap, as defined in the ABL Facility credit agreement. Interest on the ABL Facility is charged on Eurocurrency Rate Loans at the Eurocurrency Rate, as defined, plus 2.25% to 2.75%, depending on the historical excess availability as a percentage of the Line Cap, as defined in the ABL Facility credit agreement. The ABL Facility contains commitment fees payable on the unused portion ranging from 0.25% to 0.375%, depending on various factors including the Company’s leverage ratio, type of loan and rate type, and letter of credit fees of 2.50%. Borrowings under the ABL Facility are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the Term Loan Priority Collateral, as defined below. The Company had no outstanding borrowings under the ABL Facility at December 31, 2020 and 2019. The Company had $9.6 million of undrawn letters of credit issued and outstanding, resulting in net borrowing availability under the ABL of $165.4 million as of December 31, 2020.</w:t>
      </w:r>
    </w:p>
    <w:p>
      <w:pPr>
        <w:spacing w:after="0" w:line="15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principal balance of the First Lien Term Loan is repayable in quarterly installments which commenced in March 2020 of $2.3 million plus interest, with a final payment of all remaining outstanding principal due on August 6, 2026.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4.40% and 6.20% as of December 31, 2020 and 2019, respectively. The weighted average interest rate incurred was 5.09% for the year ended December 31, 2020. The weighted average interest rate incurred was 6.47% for the period August 6, 2019 through December 31, 2019. Amounts borrowed under the First Lien Term Loan are secured by a first priority security interest in each of the Company’s subsidiaries’ capital stock (subject to certain exceptions) and substantially all of the Company’s property and assets (other than the ABL Priority Collateral), (the “Term Loan Priority Collateral”), in each case subject to certain exceptions, and a second priority security interest in the ABL Priority Collateral.</w:t>
      </w:r>
    </w:p>
    <w:p>
      <w:pPr>
        <w:spacing w:after="0" w:line="1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Second Lien Notes mature on August 6, 2027. Interest on the Second Lien Notes is payable quarterly and is at London Interbank Offered Rate (“LIBOR”), plus 8.75%. The Company elected to pay-in-kind (“PIK”) the first quarterly interest payment, due in November 2019, which resulted in the Company capitalizing $12.3 million in interest to the principal balance on the interest payment date. The Company also elected to PIK the quarterly interest payment due in August 2020, which resulted in the Company capitalizing $7.5 million in interest expense to the principal balance of the Second Lien Notes on the interest payment date. In connection with the PIK elections, the Company was charged an additional 1.00% in interest expense on those quarterly interest payments. The interest rate on the Second Lien Notes was 8.98% and 10.66% as of December 31, 2020 and 2019. The weighted average interest incurred was 9.39% for the year ended December 31, 2020. The weighted average interest incurred was 11.45% for the period August 6, 2019 through December 31, 2019.</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During the year ended December 31, 2020, the Company completed a public offering of stock for proceeds of $118.9 million. Those proceeds, along with additional cash on hand, were used to prepay $174.0 million of the Second Lien Notes, which is reflected as a cash outflow from financing activities in the Company’s consolidated statements of cash flows. The Company recognized a loss on extinguishment of debt of $11.5 million, of which $3.5 million related to the prepayment penalty and $8.0 million related to deferred financing fees which were written off upon extinguishment. The $3.5 million prepayment penalty was reflected as a cash outflow from financing activities in the Company’s consolidated statements of cash flows. The loss on extinguishment was recorded as a component of other, net in the Company’s consolidated statements of comprehensive income (loss). See Note 16, </w:t>
      </w:r>
      <w:r>
        <w:rPr>
          <w:rFonts w:ascii="Arial" w:cs="Arial" w:eastAsia="Arial" w:hAnsi="Arial"/>
          <w:sz w:val="18"/>
          <w:szCs w:val="18"/>
          <w:i w:val="1"/>
          <w:iCs w:val="1"/>
          <w:color w:val="auto"/>
        </w:rPr>
        <w:t>Stockholders’ Equity</w:t>
      </w:r>
      <w:r>
        <w:rPr>
          <w:rFonts w:ascii="Arial" w:cs="Arial" w:eastAsia="Arial" w:hAnsi="Arial"/>
          <w:sz w:val="18"/>
          <w:szCs w:val="18"/>
          <w:color w:val="auto"/>
        </w:rPr>
        <w:t>, for further discussion of the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During the year ended December 31, 2019, the Company assessed whether the repayment of the Previous Term Loans and subsequent issuance of the First Lien Term Loan and the Second Lien Notes resulted in an insubstantial modification or an extinguishment of the existing debt for each loan in the syndication by grouping lenders as follows: (i) Lenders participating in both the Previous Credit Facilities and the new Loan Facilities and Second Lien Notes; (ii) previous lenders that exited; and (iii) new lenders. The Company determined that $226.7 million of the Previous First Lien Term Loan was extinguished and none of the Previous Second Lien Term Loan was extinguished, which is disclosed as an outflow from financing activities in the consolidated statements of cash flows. The Company determined that $752.4 million of new debt was issued related to the First Lien Term Loan and $250.0 million of new debt was issued related to the Second Lien Notes, which is disclosed as an inflow from financing activities in the consolidated statements of cash flows. In connection with the issuance of the First Lien Term Loan, the Second Lien Notes, and the ABL Facility, the Company incurred $52.6 million in debt issuance costs and third-party fees, of which $48.1 million was capitalized, $1.3 million was expensed as a component of other expense and $3.2 million was expensed as a loss on extinguishment as a component of other expense. Further, $21.3 million of the total fees incurred of $52.6 million was netted against the $981.1 million of proceeds from debt as a component of the cash flows from financing activities, $30.0 million was presented as deferred financing costs as a component of cash flows from financing activities, and the remaining $1.3 million was included in cash flows from operating activities.</w:t>
      </w:r>
    </w:p>
    <w:p>
      <w:pPr>
        <w:spacing w:after="0" w:line="14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the year ended December 31, 2019, the Company recognized a loss on extinguishment of debt of $5.5 million, of which $3.2 million related to debt issue costs incurred with the issuance of the Loan Facilities and Second Lien Notes, as discussed above, and $2.3 million related to deferred financing fees on the Previous Credit Facilities, which were written off upon extinguishment. All remaining deferred financing fees related to the Previous Credit Facilities of $7.6 million were attributed to modified loans, which are capitalized and will be amortized over the remaining term of the Loan Facilities and Second Lien Notes.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440" w:type="dxa"/>
            <w:vAlign w:val="bottom"/>
          </w:tcPr>
          <w:p>
            <w:pPr>
              <w:ind w:left="20"/>
              <w:spacing w:after="0"/>
              <w:rPr>
                <w:sz w:val="20"/>
                <w:szCs w:val="20"/>
                <w:color w:val="auto"/>
              </w:rPr>
            </w:pPr>
            <w:r>
              <w:rPr>
                <w:rFonts w:ascii="Arial" w:cs="Arial" w:eastAsia="Arial" w:hAnsi="Arial"/>
                <w:sz w:val="16"/>
                <w:szCs w:val="16"/>
                <w:b w:val="1"/>
                <w:bCs w:val="1"/>
                <w:color w:val="auto"/>
                <w:w w:val="93"/>
              </w:rPr>
              <w:t>Minimum Payments</w:t>
            </w:r>
          </w:p>
        </w:tc>
        <w:tc>
          <w:tcPr>
            <w:tcW w:w="720" w:type="dxa"/>
            <w:vAlign w:val="bottom"/>
          </w:tcPr>
          <w:p>
            <w:pPr>
              <w:spacing w:after="0"/>
              <w:rPr>
                <w:sz w:val="18"/>
                <w:szCs w:val="18"/>
                <w:color w:val="auto"/>
              </w:rPr>
            </w:pPr>
          </w:p>
        </w:tc>
      </w:tr>
      <w:tr>
        <w:trPr>
          <w:trHeight w:val="21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2026 and beyond</w:t>
            </w:r>
          </w:p>
        </w:tc>
        <w:tc>
          <w:tcPr>
            <w:tcW w:w="1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1,115,281</w:t>
            </w:r>
          </w:p>
        </w:tc>
      </w:tr>
      <w:tr>
        <w:trPr>
          <w:trHeight w:val="23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1,161,531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In January 2021, the Company entered into an amendment on the First Lien Term Loan, which resulted in an additional $250.0 million of incremental First Lien Term Loan indebtedness being issued, which was used to prepay the remaining $245.8 million outstanding balance of the Second Lien Notes. See Note 19,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discussion.</w:t>
      </w:r>
    </w:p>
    <w:p>
      <w:pPr>
        <w:spacing w:after="0" w:line="1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During the year ended December 31, 2020, the Company engaged in hedging activities to limit its exposure to changes in interest rates.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December 31, 2020 (in thousands):</w:t>
      </w:r>
    </w:p>
    <w:p>
      <w:pPr>
        <w:spacing w:after="0" w:line="204"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Carrying Value as of</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Markets for</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4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6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Identical Item</w:t>
            </w: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Observable Inputs</w:t>
            </w:r>
          </w:p>
        </w:tc>
        <w:tc>
          <w:tcPr>
            <w:tcW w:w="15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2"/>
              </w:rPr>
              <w:t>Unobservable Inputs</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December 31, 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Note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Second Lien Note Facility</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266,438</w:t>
            </w:r>
          </w:p>
        </w:tc>
        <w:tc>
          <w:tcPr>
            <w:tcW w:w="0" w:type="dxa"/>
            <w:vAlign w:val="bottom"/>
          </w:tcPr>
          <w:p>
            <w:pPr>
              <w:spacing w:after="0"/>
              <w:rPr>
                <w:sz w:val="1"/>
                <w:szCs w:val="1"/>
                <w:color w:val="auto"/>
              </w:rPr>
            </w:pPr>
          </w:p>
        </w:tc>
      </w:tr>
      <w:tr>
        <w:trPr>
          <w:trHeight w:val="233"/>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instruments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1,124,353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913,461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266,438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Level 3 measurements for the year ended December 31, 2020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Level 3 Measurements</w:t>
            </w:r>
          </w:p>
        </w:tc>
      </w:tr>
      <w:tr>
        <w:trPr>
          <w:trHeight w:val="21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411,119</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Principal prepayment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(174,000)</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PIK</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1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w:t>
            </w: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21,794</w:t>
            </w:r>
          </w:p>
        </w:tc>
      </w:tr>
      <w:tr>
        <w:trPr>
          <w:trHeight w:val="23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December 31, 2020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266,438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During 2017, Option Care entered into interest rate caps that reduce the risk of increased interest payments due to rising interest rates. The hedges offset the risk of rising interest rates through 2020 on the first $250.0 million of the Previous First Lien Term Loan. The interest rate caps perfectly offset the terms of the interest rates associated with the variable interest rate Previous First Lien Term Loan. Option Care entered into the interest rate caps as a cash flow hedge for a notional amount of $1.9 million. In April 2019, Option Care terminated its interest rate caps and received cash proceeds of $1.7 million, net of early termination fees. In conjunction with the termination of the interest rate caps, Option Care discontinued the hedge accounting associated with the interest rate caps.</w:t>
      </w:r>
    </w:p>
    <w:p>
      <w:pPr>
        <w:spacing w:after="0" w:line="16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August 2019, the Company entered into interest rate swap agreements that reduce the variability in the interest rates on the newly-issued debt obligations. The first interest rate swap for $925.0 million notional was effective in August 2019 with $911.1 million designated as a cash flow hedge against the underlying interest rate on the First Lien Term Loan interest payments indexed to one-month LIBOR through August 2021. In accordance with ASU 2017-12, </w:t>
      </w:r>
      <w:r>
        <w:rPr>
          <w:rFonts w:ascii="Arial" w:cs="Arial" w:eastAsia="Arial" w:hAnsi="Arial"/>
          <w:sz w:val="17"/>
          <w:szCs w:val="17"/>
          <w:i w:val="1"/>
          <w:iCs w:val="1"/>
          <w:color w:val="auto"/>
        </w:rPr>
        <w:t>Targeted Improvements to Accounting for Hedges</w:t>
      </w:r>
      <w:r>
        <w:rPr>
          <w:rFonts w:ascii="Arial" w:cs="Arial" w:eastAsia="Arial" w:hAnsi="Arial"/>
          <w:sz w:val="17"/>
          <w:szCs w:val="17"/>
          <w:color w:val="auto"/>
        </w:rPr>
        <w:t>, the Company has determined that the $911.1 million designated cash flow hedge is perfectly effective. The remaining $13.9 million notional amount of the first interest rate swap is not designated as a hedging instrument. The second interest rate swap for $400.0 million notional was effective in November 2019 and was designated as a cash flow hedge against the underlying interest rate on the Second Lien Notes interest payment indexed to three-month LIBOR through November 2020.</w:t>
      </w:r>
    </w:p>
    <w:p>
      <w:pPr>
        <w:spacing w:after="0" w:line="1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May 2020, the Company elected to PIK the Second Lien Notes’ quarterly interest payment due in August 2020. Upon making the PIK election, the Company determined that the hedged interest payment would no longer occur, resulting in an ineffective hedge, so the Company discontinued hedge accounting on its $400.0 million notional interest rate swap. As a result, the Company reclassified accumulated comprehensive loss of $3.7 million to interest expense, net in the consolidated statements of comprehensive income (loss). The gains and losses associated with the $400.0 million notional swap were recognized in net income (loss) through interest expense until the swap expired in November 2020.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PIK.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 and location of the Company’s derivative instruments in the consolidated balance sheets (in thousands):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6"/>
          </w:tcPr>
          <w:p>
            <w:pPr>
              <w:jc w:val="right"/>
              <w:ind w:right="1479"/>
              <w:spacing w:after="0"/>
              <w:rPr>
                <w:sz w:val="20"/>
                <w:szCs w:val="20"/>
                <w:color w:val="auto"/>
              </w:rPr>
            </w:pPr>
            <w:r>
              <w:rPr>
                <w:rFonts w:ascii="Arial" w:cs="Arial" w:eastAsia="Arial" w:hAnsi="Arial"/>
                <w:sz w:val="16"/>
                <w:szCs w:val="16"/>
                <w:b w:val="1"/>
                <w:bCs w:val="1"/>
                <w:color w:val="auto"/>
                <w:w w:val="93"/>
              </w:rPr>
              <w:t>Fair value - Derivatives in liability position</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8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148"/>
        </w:trPr>
        <w:tc>
          <w:tcPr>
            <w:tcW w:w="5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0"/>
              </w:rPr>
              <w:t>Accrued expenses and</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2"/>
        </w:trPr>
        <w:tc>
          <w:tcPr>
            <w:tcW w:w="510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other current liabilities</w:t>
            </w:r>
          </w:p>
        </w:tc>
        <w:tc>
          <w:tcPr>
            <w:tcW w:w="600" w:type="dxa"/>
            <w:vAlign w:val="bottom"/>
            <w:gridSpan w:val="2"/>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100" w:type="dxa"/>
            <w:vAlign w:val="bottom"/>
            <w:vMerge w:val="restart"/>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1520" w:type="dxa"/>
            <w:vAlign w:val="bottom"/>
          </w:tcPr>
          <w:p>
            <w:pPr>
              <w:ind w:left="20"/>
              <w:spacing w:after="0" w:line="166" w:lineRule="exact"/>
              <w:rPr>
                <w:sz w:val="20"/>
                <w:szCs w:val="20"/>
                <w:color w:val="auto"/>
              </w:rPr>
            </w:pPr>
            <w:r>
              <w:rPr>
                <w:rFonts w:ascii="Arial" w:cs="Arial" w:eastAsia="Arial" w:hAnsi="Arial"/>
                <w:sz w:val="16"/>
                <w:szCs w:val="16"/>
                <w:color w:val="auto"/>
                <w:w w:val="90"/>
              </w:rPr>
              <w:t>Accrued expenses and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6"/>
                <w:szCs w:val="16"/>
                <w:color w:val="auto"/>
                <w:w w:val="95"/>
              </w:rPr>
              <w:t>other current liabilities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1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Other noncurrent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5,920</w:t>
            </w:r>
          </w:p>
        </w:tc>
        <w:tc>
          <w:tcPr>
            <w:tcW w:w="0" w:type="dxa"/>
            <w:vAlign w:val="bottom"/>
          </w:tcPr>
          <w:p>
            <w:pPr>
              <w:spacing w:after="0"/>
              <w:rPr>
                <w:sz w:val="1"/>
                <w:szCs w:val="1"/>
                <w:color w:val="auto"/>
              </w:rPr>
            </w:pPr>
          </w:p>
        </w:tc>
      </w:tr>
      <w:tr>
        <w:trPr>
          <w:trHeight w:val="212"/>
        </w:trPr>
        <w:tc>
          <w:tcPr>
            <w:tcW w:w="510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100" w:type="dxa"/>
            <w:vAlign w:val="bottom"/>
            <w:vMerge w:val="restart"/>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1520" w:type="dxa"/>
            <w:vAlign w:val="bottom"/>
          </w:tcPr>
          <w:p>
            <w:pPr>
              <w:ind w:left="20"/>
              <w:spacing w:after="0" w:line="166" w:lineRule="exact"/>
              <w:rPr>
                <w:sz w:val="20"/>
                <w:szCs w:val="20"/>
                <w:color w:val="auto"/>
              </w:rPr>
            </w:pPr>
            <w:r>
              <w:rPr>
                <w:rFonts w:ascii="Arial" w:cs="Arial" w:eastAsia="Arial" w:hAnsi="Arial"/>
                <w:sz w:val="16"/>
                <w:szCs w:val="16"/>
                <w:color w:val="auto"/>
              </w:rPr>
              <w:t>Other noncurrent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5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gain and loss associated with the changes in the fair value of the effective portion of the hedging instrument are recorded into other comprehensive (loss) income. The gain and loss associated with the changes in the fair value of the $400.0 million notional swap and the $13.9 million notional amount not designated as a hedging instrument are recognized in net income (loss) through interest expense. The following table presents the pre-tax gains (losses) from derivative instruments recognized in other comprehensive (loss) income in the Company’s consolidated statements of comprehensive income (loss) (in thousands):</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20" w:type="dxa"/>
            <w:vAlign w:val="bottom"/>
            <w:tcBorders>
              <w:bottom w:val="single" w:sz="8" w:color="auto"/>
            </w:tcBorders>
          </w:tcPr>
          <w:p>
            <w:pPr>
              <w:spacing w:after="0"/>
              <w:rPr>
                <w:sz w:val="18"/>
                <w:szCs w:val="18"/>
                <w:color w:val="auto"/>
              </w:rPr>
            </w:pPr>
          </w:p>
        </w:tc>
      </w:tr>
      <w:tr>
        <w:trPr>
          <w:trHeight w:val="21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0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w:t>
            </w:r>
          </w:p>
        </w:tc>
      </w:tr>
      <w:tr>
        <w:trPr>
          <w:trHeight w:val="21"/>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consolidated statement of comprehensive income (loss) related to the Company’s derivative instruments (in thousands):</w:t>
      </w:r>
    </w:p>
    <w:p>
      <w:pPr>
        <w:spacing w:after="0" w:line="184"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Derivative</w:t>
            </w:r>
          </w:p>
        </w:tc>
        <w:tc>
          <w:tcPr>
            <w:tcW w:w="32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r>
      <w:tr>
        <w:trPr>
          <w:trHeight w:val="212"/>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caps designated as cash flow hedges</w:t>
            </w:r>
          </w:p>
        </w:tc>
        <w:tc>
          <w:tcPr>
            <w:tcW w:w="33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Interest rate swaps designated as cash flow hedges</w:t>
            </w:r>
          </w:p>
        </w:tc>
        <w:tc>
          <w:tcPr>
            <w:tcW w:w="3320" w:type="dxa"/>
            <w:vAlign w:val="bottom"/>
            <w:gridSpan w:val="2"/>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 not designated as hedges</w:t>
            </w:r>
          </w:p>
        </w:tc>
        <w:tc>
          <w:tcPr>
            <w:tcW w:w="33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Interest rate swaps that discontinued hedge accounting</w:t>
            </w:r>
          </w:p>
        </w:tc>
        <w:tc>
          <w:tcPr>
            <w:tcW w:w="3320" w:type="dxa"/>
            <w:vAlign w:val="bottom"/>
            <w:gridSpan w:val="2"/>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expects to reclassify $11.2 million of total interest rate costs from accumulated other comprehensive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While the Company believes its valuation methods are appropriate and consistent with other market participants,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methodologies or assumptions to determine the fair value of certain financial instruments could result in a different fair value measurement at the reporting date.</w:t>
      </w:r>
    </w:p>
    <w:p>
      <w:pPr>
        <w:spacing w:after="0" w:line="1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First Lien Term Loan.</w:t>
      </w:r>
    </w:p>
    <w:p>
      <w:pPr>
        <w:spacing w:after="0" w:line="130"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is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carrying amount and fair value of the Second Lien Notes.</w:t>
      </w:r>
    </w:p>
    <w:p>
      <w:pPr>
        <w:spacing w:after="0" w:line="11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the interest rate swaps.</w:t>
      </w:r>
    </w:p>
    <w:p>
      <w:pPr>
        <w:spacing w:after="0" w:line="143"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i w:val="1"/>
          <w:iCs w:val="1"/>
          <w:color w:val="auto"/>
        </w:rPr>
        <w:t>Interest rate caps</w:t>
      </w:r>
      <w:r>
        <w:rPr>
          <w:rFonts w:ascii="Arial" w:cs="Arial" w:eastAsia="Arial" w:hAnsi="Arial"/>
          <w:sz w:val="16"/>
          <w:szCs w:val="16"/>
          <w:color w:val="auto"/>
        </w:rPr>
        <w:t>: The fair values of interest rate caps are derived from the interest rates prevalent in the market and future expectations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rates (Level 2 inputs). The Company determines the fair value of the investments based on quoted prices from third-party brokers. In April 2019, Option Care terminated its interest rate caps.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discussion of the fair value of the interest rate caps.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December 31, 2020 or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INCENTIVE COMPENSATION</w:t>
      </w:r>
    </w:p>
    <w:p>
      <w:pPr>
        <w:spacing w:after="0" w:line="198"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Under the Company’s 2018 Equity Incentive Plan (the “2018 Plan”), approved at the annual meeting by the BioScrip</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w:t>
      </w:r>
    </w:p>
    <w:p>
      <w:pPr>
        <w:spacing w:after="0" w:line="143" w:lineRule="exact"/>
        <w:rPr>
          <w:sz w:val="20"/>
          <w:szCs w:val="20"/>
          <w:color w:val="auto"/>
        </w:rPr>
      </w:pPr>
    </w:p>
    <w:p>
      <w:pPr>
        <w:jc w:val="both"/>
        <w:ind w:right="100" w:firstLine="324"/>
        <w:spacing w:after="0" w:line="289"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Options granted under the 2018 Plan typically vest over a three- or four-year period and, in certain instances, may fully vest upon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Compensation expense from stock options is recognized on a straight-line basis over the requisite service period. During the years ended December 31, 2020 and 2019, the Company recognized compensation expense related to stock options of $0.4 million and $0.4 million. The Company did not recognize any compensation expense related to stock options prior to the Merger.</w:t>
      </w:r>
    </w:p>
    <w:p>
      <w:pPr>
        <w:spacing w:after="0" w:line="157"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weighted average grant-date fair value of options granted during the year ended December 31, 2020 was $5.94. The Company did not grant any options during the years ended December 31, 2019 or 2018. The fair value of stock options granted was estimated on the date of grant using a Black-Scholes pricing model. The assumptions used to compute the fair value of options for the year ended December 31, 2020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45.7 %</w:t>
            </w: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780" w:type="dxa"/>
            <w:vAlign w:val="bottom"/>
          </w:tcPr>
          <w:p>
            <w:pPr>
              <w:jc w:val="right"/>
              <w:spacing w:after="0"/>
              <w:rPr>
                <w:sz w:val="20"/>
                <w:szCs w:val="20"/>
                <w:color w:val="auto"/>
              </w:rPr>
            </w:pPr>
            <w:r>
              <w:rPr>
                <w:rFonts w:ascii="Arial" w:cs="Arial" w:eastAsia="Arial" w:hAnsi="Arial"/>
                <w:sz w:val="16"/>
                <w:szCs w:val="16"/>
                <w:color w:val="auto"/>
              </w:rPr>
              <w:t>0.53 %</w:t>
            </w: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years</w:t>
            </w: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2020 is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54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6"/>
                <w:szCs w:val="16"/>
                <w:color w:val="auto"/>
              </w:rPr>
            </w:pPr>
          </w:p>
        </w:tc>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Weighted Average Exercise</w:t>
            </w:r>
          </w:p>
        </w:tc>
        <w:tc>
          <w:tcPr>
            <w:tcW w:w="10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Aggregate Intrinsic Value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(thousands)</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Remaining Contractual Life</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54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3"/>
              </w:rPr>
              <w:t>644,975</w:t>
            </w:r>
          </w:p>
        </w:tc>
        <w:tc>
          <w:tcPr>
            <w:tcW w:w="5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center"/>
              <w:ind w:left="799"/>
              <w:spacing w:after="0"/>
              <w:rPr>
                <w:sz w:val="20"/>
                <w:szCs w:val="20"/>
                <w:color w:val="auto"/>
              </w:rPr>
            </w:pPr>
            <w:r>
              <w:rPr>
                <w:rFonts w:ascii="Arial" w:cs="Arial" w:eastAsia="Arial" w:hAnsi="Arial"/>
                <w:sz w:val="16"/>
                <w:szCs w:val="16"/>
                <w:color w:val="auto"/>
                <w:w w:val="93"/>
              </w:rPr>
              <w:t>204,928</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5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3"/>
              </w:rPr>
              <w:t>(266,065)</w:t>
            </w:r>
          </w:p>
        </w:tc>
        <w:tc>
          <w:tcPr>
            <w:tcW w:w="5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 and expired</w:t>
            </w:r>
          </w:p>
        </w:tc>
        <w:tc>
          <w:tcPr>
            <w:tcW w:w="154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w w:val="93"/>
              </w:rPr>
              <w:t>(171,007)</w:t>
            </w:r>
          </w:p>
        </w:tc>
        <w:tc>
          <w:tcPr>
            <w:tcW w:w="560" w:type="dxa"/>
            <w:vAlign w:val="bottom"/>
            <w:tcBorders>
              <w:bottom w:val="single" w:sz="8" w:color="CCEEFF"/>
            </w:tcBorders>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26.36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54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3"/>
              </w:rPr>
              <w:t>412,831</w:t>
            </w:r>
          </w:p>
        </w:tc>
        <w:tc>
          <w:tcPr>
            <w:tcW w:w="56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w w:val="88"/>
              </w:rPr>
              <w:t>6.7 years</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20" w:type="dxa"/>
            <w:vAlign w:val="bottom"/>
          </w:tcPr>
          <w:p>
            <w:pPr>
              <w:spacing w:after="0"/>
              <w:rPr>
                <w:sz w:val="20"/>
                <w:szCs w:val="20"/>
                <w:color w:val="auto"/>
              </w:rPr>
            </w:pPr>
            <w:r>
              <w:rPr>
                <w:rFonts w:ascii="Arial" w:cs="Arial" w:eastAsia="Arial" w:hAnsi="Arial"/>
                <w:sz w:val="16"/>
                <w:szCs w:val="16"/>
                <w:color w:val="auto"/>
              </w:rPr>
              <w:t>Exercisable at December 31, 2020</w:t>
            </w:r>
          </w:p>
        </w:tc>
        <w:tc>
          <w:tcPr>
            <w:tcW w:w="154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3"/>
              </w:rPr>
              <w:t>197,735</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6"/>
                <w:szCs w:val="16"/>
                <w:color w:val="auto"/>
              </w:rPr>
            </w:pPr>
          </w:p>
        </w:tc>
        <w:tc>
          <w:tcPr>
            <w:tcW w:w="2000" w:type="dxa"/>
            <w:vAlign w:val="bottom"/>
          </w:tcPr>
          <w:p>
            <w:pPr>
              <w:ind w:left="1400"/>
              <w:spacing w:after="0"/>
              <w:rPr>
                <w:sz w:val="20"/>
                <w:szCs w:val="20"/>
                <w:color w:val="auto"/>
              </w:rPr>
            </w:pPr>
            <w:r>
              <w:rPr>
                <w:rFonts w:ascii="Arial" w:cs="Arial" w:eastAsia="Arial" w:hAnsi="Arial"/>
                <w:sz w:val="16"/>
                <w:szCs w:val="16"/>
                <w:color w:val="auto"/>
                <w:w w:val="88"/>
              </w:rPr>
              <w:t>4.2 years</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During the year ended December 31, 2020, shares were surrendered to satisfy tax withholding obligations on the exercise of stock options with a cost basis of $2.7 million. During the year ended December 31, 2019, shares were surrendered to satisfy tax withholding obligations on the exercise of stock options with a cost basis of $0.4 million, which are all held as treasury stock as of December 31, 2020. During the year ended December 31, 2020, $0.4 million of cash was received from stock option exercises under share-based payment arrangements. No cash was received from stock option exercises under share-based payment arrangements for the years ended December 31,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maximum term of stock options under these plans is ten years. Options outstanding as of December 31, 2020 expire on various dates ranging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2021 through March 2030. The following table outlines the outstanding and exercisable stock options as of December 31, 2020:</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Options Outstanding</w:t>
            </w: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9"/>
        </w:trPr>
        <w:tc>
          <w:tcPr>
            <w:tcW w:w="1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Range of Option</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4"/>
              </w:rPr>
              <w:t>Weighted Average</w:t>
            </w:r>
          </w:p>
        </w:tc>
        <w:tc>
          <w:tcPr>
            <w:tcW w:w="0" w:type="dxa"/>
            <w:vAlign w:val="bottom"/>
          </w:tcPr>
          <w:p>
            <w:pPr>
              <w:spacing w:after="0"/>
              <w:rPr>
                <w:sz w:val="1"/>
                <w:szCs w:val="1"/>
                <w:color w:val="auto"/>
              </w:rPr>
            </w:pPr>
          </w:p>
        </w:tc>
      </w:tr>
      <w:tr>
        <w:trPr>
          <w:trHeight w:val="162"/>
        </w:trPr>
        <w:tc>
          <w:tcPr>
            <w:tcW w:w="1840" w:type="dxa"/>
            <w:vAlign w:val="bottom"/>
            <w:gridSpan w:val="2"/>
            <w:vMerge w:val="continue"/>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9"/>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Remaining Contractual</w:t>
            </w:r>
          </w:p>
        </w:tc>
        <w:tc>
          <w:tcPr>
            <w:tcW w:w="17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Options Exercisable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Exercise Price</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$0.00 - $8.24</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6.1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20"/>
                <w:szCs w:val="20"/>
                <w:color w:val="auto"/>
              </w:rPr>
            </w:pPr>
            <w:r>
              <w:rPr>
                <w:rFonts w:ascii="Arial" w:cs="Arial" w:eastAsia="Arial" w:hAnsi="Arial"/>
                <w:sz w:val="16"/>
                <w:szCs w:val="16"/>
                <w:color w:val="auto"/>
              </w:rPr>
              <w:t>$8.24 - $16.52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345,180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1880" w:type="dxa"/>
            <w:vAlign w:val="bottom"/>
            <w:gridSpan w:val="2"/>
          </w:tcPr>
          <w:p>
            <w:pPr>
              <w:ind w:left="1160"/>
              <w:spacing w:after="0"/>
              <w:rPr>
                <w:sz w:val="20"/>
                <w:szCs w:val="20"/>
                <w:color w:val="auto"/>
              </w:rPr>
            </w:pPr>
            <w:r>
              <w:rPr>
                <w:rFonts w:ascii="Arial" w:cs="Arial" w:eastAsia="Arial" w:hAnsi="Arial"/>
                <w:sz w:val="16"/>
                <w:szCs w:val="16"/>
                <w:color w:val="auto"/>
              </w:rPr>
              <w:t>7.5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130,084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$16.52 - $24.76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2.7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20"/>
                <w:szCs w:val="20"/>
                <w:color w:val="auto"/>
              </w:rPr>
            </w:pPr>
            <w:r>
              <w:rPr>
                <w:rFonts w:ascii="Arial" w:cs="Arial" w:eastAsia="Arial" w:hAnsi="Arial"/>
                <w:sz w:val="16"/>
                <w:szCs w:val="16"/>
                <w:color w:val="auto"/>
              </w:rPr>
              <w:t>$24.76 - $33.00</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15,000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30.41</w:t>
            </w:r>
          </w:p>
        </w:tc>
        <w:tc>
          <w:tcPr>
            <w:tcW w:w="100" w:type="dxa"/>
            <w:vAlign w:val="bottom"/>
          </w:tcPr>
          <w:p>
            <w:pPr>
              <w:spacing w:after="0"/>
              <w:rPr>
                <w:sz w:val="18"/>
                <w:szCs w:val="18"/>
                <w:color w:val="auto"/>
              </w:rPr>
            </w:pPr>
          </w:p>
        </w:tc>
        <w:tc>
          <w:tcPr>
            <w:tcW w:w="1880" w:type="dxa"/>
            <w:vAlign w:val="bottom"/>
            <w:gridSpan w:val="2"/>
          </w:tcPr>
          <w:p>
            <w:pPr>
              <w:ind w:left="1160"/>
              <w:spacing w:after="0"/>
              <w:rPr>
                <w:sz w:val="20"/>
                <w:szCs w:val="20"/>
                <w:color w:val="auto"/>
              </w:rPr>
            </w:pPr>
            <w:r>
              <w:rPr>
                <w:rFonts w:ascii="Arial" w:cs="Arial" w:eastAsia="Arial" w:hAnsi="Arial"/>
                <w:sz w:val="16"/>
                <w:szCs w:val="16"/>
                <w:color w:val="auto"/>
              </w:rPr>
              <w:t>2.3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15,000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30.41</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$33.00 - $41.28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0.0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20"/>
                <w:szCs w:val="20"/>
                <w:color w:val="auto"/>
              </w:rPr>
            </w:pPr>
            <w:r>
              <w:rPr>
                <w:rFonts w:ascii="Arial" w:cs="Arial" w:eastAsia="Arial" w:hAnsi="Arial"/>
                <w:sz w:val="16"/>
                <w:szCs w:val="16"/>
                <w:color w:val="auto"/>
              </w:rPr>
              <w:t>$41.28 - $49.52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12,500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1880" w:type="dxa"/>
            <w:vAlign w:val="bottom"/>
            <w:gridSpan w:val="2"/>
          </w:tcPr>
          <w:p>
            <w:pPr>
              <w:ind w:left="1160"/>
              <w:spacing w:after="0"/>
              <w:rPr>
                <w:sz w:val="20"/>
                <w:szCs w:val="20"/>
                <w:color w:val="auto"/>
              </w:rPr>
            </w:pPr>
            <w:r>
              <w:rPr>
                <w:rFonts w:ascii="Arial" w:cs="Arial" w:eastAsia="Arial" w:hAnsi="Arial"/>
                <w:sz w:val="16"/>
                <w:szCs w:val="16"/>
                <w:color w:val="auto"/>
              </w:rPr>
              <w:t>1.3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12,500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$49.52 - $57.76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2.0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20"/>
                <w:szCs w:val="20"/>
                <w:color w:val="auto"/>
              </w:rPr>
            </w:pPr>
            <w:r>
              <w:rPr>
                <w:rFonts w:ascii="Arial" w:cs="Arial" w:eastAsia="Arial" w:hAnsi="Arial"/>
                <w:sz w:val="16"/>
                <w:szCs w:val="16"/>
                <w:color w:val="auto"/>
              </w:rPr>
              <w:t>$57.76 - $66.00</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gridSpan w:val="2"/>
          </w:tcPr>
          <w:p>
            <w:pPr>
              <w:ind w:left="1160"/>
              <w:spacing w:after="0"/>
              <w:rPr>
                <w:sz w:val="20"/>
                <w:szCs w:val="20"/>
                <w:color w:val="auto"/>
              </w:rPr>
            </w:pPr>
            <w:r>
              <w:rPr>
                <w:rFonts w:ascii="Arial" w:cs="Arial" w:eastAsia="Arial" w:hAnsi="Arial"/>
                <w:sz w:val="16"/>
                <w:szCs w:val="16"/>
                <w:color w:val="auto"/>
              </w:rPr>
              <w:t>0.0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$66.00 - $74.28</w:t>
            </w:r>
          </w:p>
        </w:tc>
        <w:tc>
          <w:tcPr>
            <w:tcW w:w="12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2.6 years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All options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2020, there was $1.0 million of unrecognized compensation expense related to unvested option grants that is expected to be recognized over a weighted-average period of 1.8 years.</w:t>
      </w:r>
    </w:p>
    <w:p>
      <w:pPr>
        <w:spacing w:after="0" w:line="126" w:lineRule="exact"/>
        <w:rPr>
          <w:sz w:val="20"/>
          <w:szCs w:val="20"/>
          <w:color w:val="auto"/>
        </w:rPr>
      </w:pPr>
    </w:p>
    <w:p>
      <w:pPr>
        <w:ind w:right="180" w:firstLine="324"/>
        <w:spacing w:after="0" w:line="314"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 Restricted stock grants subject solely to an employee’s continued service with the Company generally will become fully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one to four years from the grant date and, in certain instances, may fully vest upon a change in control of the Company. Restricted stock grants subject solely to a Director’s continued service with the Company generally will become fully vested within one year from the date of grant.</w:t>
      </w:r>
    </w:p>
    <w:p>
      <w:pPr>
        <w:spacing w:after="0" w:line="105" w:lineRule="exact"/>
        <w:rPr>
          <w:sz w:val="20"/>
          <w:szCs w:val="20"/>
          <w:color w:val="auto"/>
        </w:rPr>
      </w:pPr>
    </w:p>
    <w:p>
      <w:pPr>
        <w:ind w:right="700" w:firstLine="324"/>
        <w:spacing w:after="0" w:line="311" w:lineRule="auto"/>
        <w:rPr>
          <w:sz w:val="20"/>
          <w:szCs w:val="20"/>
          <w:color w:val="auto"/>
        </w:rPr>
      </w:pPr>
      <w:r>
        <w:rPr>
          <w:rFonts w:ascii="Arial" w:cs="Arial" w:eastAsia="Arial" w:hAnsi="Arial"/>
          <w:sz w:val="16"/>
          <w:szCs w:val="16"/>
          <w:color w:val="auto"/>
        </w:rPr>
        <w:t>Compensation expense from restricted stock is recognized on a straight-line basis over the requisite service period. During the years ended December 31, 2020 and 2019, the Company recognized compensation expense related to restricted stock awards of $2.3 million and $1.9 million, respectively. The Company did not recognize any compensation expense related to restricted stock awards prior to the Merger.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award activity for the year ended December 31, 2020 is as follows:</w:t>
      </w:r>
    </w:p>
    <w:p>
      <w:pPr>
        <w:spacing w:after="0" w:line="204"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1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Weighted Average Grant Date</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231,562</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spacing w:after="0"/>
              <w:rPr>
                <w:sz w:val="20"/>
                <w:szCs w:val="20"/>
                <w:color w:val="auto"/>
              </w:rPr>
            </w:pPr>
            <w:r>
              <w:rPr>
                <w:rFonts w:ascii="Arial" w:cs="Arial" w:eastAsia="Arial" w:hAnsi="Arial"/>
                <w:sz w:val="16"/>
                <w:szCs w:val="16"/>
                <w:color w:val="auto"/>
              </w:rPr>
              <w:t>490,557</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issued</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(120,782)</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and expired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(51,687)</w:t>
            </w:r>
          </w:p>
        </w:tc>
        <w:tc>
          <w:tcPr>
            <w:tcW w:w="520" w:type="dxa"/>
            <w:vAlign w:val="bottom"/>
            <w:tcBorders>
              <w:bottom w:val="single" w:sz="8" w:color="CCEEFF"/>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549,650</w:t>
            </w:r>
          </w:p>
        </w:tc>
        <w:tc>
          <w:tcPr>
            <w:tcW w:w="52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During the year ended December 31, 2020, shares were surrendered to satisfy tax withholding obligations on the vesting of restricted stock awards with a cost basis of $0.3 million. During the year ended December 31, 2019, shares were surrendered to satisfy tax withholding obligations on the vesting of restricted stock awards with a cost basis of $2.1 million, of which $2.0 million is held as treasury stock as of December 31, 2019.</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December 31, 2020, there was $6.0 million in unrecognized compensation expense related to unvested restricted stock awards that is expected to be recognized over a weighted average period of 1.7 years. The total fair value of restricted stock awards vested during the years ended December 31, 2020, 2019 and 2018 was $1.5 million, $1.9 million and $0,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HC I Incentive Units </w:t>
      </w:r>
      <w:r>
        <w:rPr>
          <w:rFonts w:ascii="Arial" w:cs="Arial" w:eastAsia="Arial" w:hAnsi="Arial"/>
          <w:sz w:val="18"/>
          <w:szCs w:val="18"/>
          <w:color w:val="auto"/>
        </w:rPr>
        <w:t>— Beginning in October 2015, HC I implemented an equity incentive plan for certain officers and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units are equity-based awards subject to time and performance vesting restrictions. The compensation expense related to this plan has been reflected in the Company’s financial statements.</w:t>
      </w:r>
    </w:p>
    <w:p>
      <w:pPr>
        <w:spacing w:after="0" w:line="13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compensation expense is recognized on a straight-line basis over the vesting period of the award or the employee’s retirement eligible date, if earlier. During the years ended December 31, 2020, 2019 and 2018, the Company recognized compensation expense related to the HC I incentive units of $0.2 million, $1.9 million and $2.1 million, respectively.</w:t>
      </w:r>
    </w:p>
    <w:p>
      <w:pPr>
        <w:spacing w:after="0" w:line="138"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color w:val="auto"/>
        </w:rPr>
        <w:t>No awards were issued during the year ended December 31, 2020. The fair value of each award was determined using a Monte-Carlo simulation with the following weighted average assumptions: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 (1)</w:t>
            </w: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Average time to liquidity (years) (2)</w:t>
            </w:r>
          </w:p>
        </w:tc>
        <w:tc>
          <w:tcPr>
            <w:tcW w:w="2900" w:type="dxa"/>
            <w:vAlign w:val="bottom"/>
          </w:tcPr>
          <w:p>
            <w:pPr>
              <w:jc w:val="right"/>
              <w:spacing w:after="0"/>
              <w:rPr>
                <w:sz w:val="20"/>
                <w:szCs w:val="20"/>
                <w:color w:val="auto"/>
              </w:rPr>
            </w:pPr>
            <w:r>
              <w:rPr>
                <w:rFonts w:ascii="Arial" w:cs="Arial" w:eastAsia="Arial" w:hAnsi="Arial"/>
                <w:sz w:val="16"/>
                <w:szCs w:val="16"/>
                <w:color w:val="auto"/>
              </w:rPr>
              <w:t>2.1 years</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 (3)</w:t>
            </w: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47.00 %</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Discount for lack of marketability (4)</w:t>
            </w:r>
          </w:p>
        </w:tc>
        <w:tc>
          <w:tcPr>
            <w:tcW w:w="2900" w:type="dxa"/>
            <w:vAlign w:val="bottom"/>
          </w:tcPr>
          <w:p>
            <w:pPr>
              <w:jc w:val="right"/>
              <w:spacing w:after="0"/>
              <w:rPr>
                <w:sz w:val="20"/>
                <w:szCs w:val="20"/>
                <w:color w:val="auto"/>
              </w:rPr>
            </w:pPr>
            <w:r>
              <w:rPr>
                <w:rFonts w:ascii="Arial" w:cs="Arial" w:eastAsia="Arial" w:hAnsi="Arial"/>
                <w:sz w:val="16"/>
                <w:szCs w:val="16"/>
                <w:color w:val="auto"/>
              </w:rPr>
              <w:t>30.00 %</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grant-date fair value per share</w:t>
            </w: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bl>
    <w:p>
      <w:pPr>
        <w:spacing w:after="0" w:line="58" w:lineRule="exact"/>
        <w:rPr>
          <w:sz w:val="20"/>
          <w:szCs w:val="20"/>
          <w:color w:val="auto"/>
        </w:rPr>
      </w:pPr>
    </w:p>
    <w:p>
      <w:pPr>
        <w:ind w:left="1680" w:hanging="230"/>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US Treasury security rate for the expected time to liquidity event.</w:t>
      </w:r>
    </w:p>
    <w:p>
      <w:pPr>
        <w:spacing w:after="0" w:line="32" w:lineRule="exact"/>
        <w:rPr>
          <w:rFonts w:ascii="Arial" w:cs="Arial" w:eastAsia="Arial" w:hAnsi="Arial"/>
          <w:sz w:val="16"/>
          <w:szCs w:val="16"/>
          <w:color w:val="auto"/>
        </w:rPr>
      </w:pPr>
    </w:p>
    <w:p>
      <w:pPr>
        <w:ind w:left="1680" w:hanging="230"/>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period of time expected prior to liquidity event.</w:t>
      </w:r>
    </w:p>
    <w:p>
      <w:pPr>
        <w:spacing w:after="0" w:line="32" w:lineRule="exact"/>
        <w:rPr>
          <w:rFonts w:ascii="Arial" w:cs="Arial" w:eastAsia="Arial" w:hAnsi="Arial"/>
          <w:sz w:val="16"/>
          <w:szCs w:val="16"/>
          <w:color w:val="auto"/>
        </w:rPr>
      </w:pPr>
    </w:p>
    <w:p>
      <w:pPr>
        <w:ind w:left="1680" w:hanging="230"/>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historical volatility of comparable public companies.</w:t>
      </w:r>
    </w:p>
    <w:p>
      <w:pPr>
        <w:spacing w:after="0" w:line="32" w:lineRule="exact"/>
        <w:rPr>
          <w:rFonts w:ascii="Arial" w:cs="Arial" w:eastAsia="Arial" w:hAnsi="Arial"/>
          <w:sz w:val="16"/>
          <w:szCs w:val="16"/>
          <w:color w:val="auto"/>
        </w:rPr>
      </w:pPr>
    </w:p>
    <w:p>
      <w:pPr>
        <w:ind w:left="1680" w:hanging="230"/>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 discount taken to reflect the private nature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0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consolidated financial statements, which was retrospectively applied to all periods presented in the financial statements. All common shares, warrants and stock awards presented in the consolidated financial statements have been retrospectively adjusted for the reverse stock split.</w:t>
      </w:r>
    </w:p>
    <w:p>
      <w:pPr>
        <w:spacing w:after="0" w:line="1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During the year ended December 31, 2020, the Company completed a public offering of 20,700,000 shares of the Company’s common stock at a price of $12.50 per share, consisting of 10,000,000 shares of common stock issued and sold by the Company and 10,700,000 shares of common stock sold by HC I. The Company received net proceeds from the offering of $118.9 million, after deducting underwriting discounts and commissions and estimated offering expenses payable by the Company. Also, during the year ended December 31, 2020, HC I completed an additional secondary offering of 10,600,000 shares of common stock. Following the offerings, HC I holds approximately 63.6% of the common stock of the Company. The Company used the proceeds from the offering, along with additional cash on hand, to repay $174.0 million on the principal balance of its Second Lien Notes outstanding.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repayment of the Second Lien Notes.</w:t>
      </w:r>
    </w:p>
    <w:p>
      <w:pPr>
        <w:spacing w:after="0" w:line="13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color w:val="auto"/>
        </w:rPr>
        <w:t xml:space="preserve">2017 Warrants </w:t>
      </w:r>
      <w:r>
        <w:rPr>
          <w:rFonts w:ascii="Arial" w:cs="Arial" w:eastAsia="Arial" w:hAnsi="Arial"/>
          <w:sz w:val="16"/>
          <w:szCs w:val="16"/>
          <w:color w:val="auto"/>
        </w:rPr>
        <w:t>— Prior to the Merger, BioScrip issued warrants to certain debt holders pursuant to a Warrant Purchase Agreement dated as of June</w:t>
      </w:r>
      <w:r>
        <w:rPr>
          <w:rFonts w:ascii="Arial" w:cs="Arial" w:eastAsia="Arial" w:hAnsi="Arial"/>
          <w:sz w:val="16"/>
          <w:szCs w:val="16"/>
          <w:b w:val="1"/>
          <w:bCs w:val="1"/>
          <w:color w:val="auto"/>
        </w:rPr>
        <w:t xml:space="preserve"> </w:t>
      </w:r>
      <w:r>
        <w:rPr>
          <w:rFonts w:ascii="Arial" w:cs="Arial" w:eastAsia="Arial" w:hAnsi="Arial"/>
          <w:sz w:val="16"/>
          <w:szCs w:val="16"/>
          <w:color w:val="auto"/>
        </w:rPr>
        <w:t>29, 2017. In conjunction with the Merger, the 2017 Warrants were amended to entitle the purchasers of the warrants to purchase 2.1 million shares of common stock. The 2017 Warrants have a 10-year term and an exercise price of $8.00 per share and may be exercised by payment of the exercise price in cash or surrender of shares of common stock into which the 2017 Warrants are being converted in an aggregate amount sufficient to pay the exercise price. The 2017 Warrants are classified as equity instruments, and the fair value of these warrants of $14.1 million was recorded in paid-in capital as of the Merger Date. During the years ended December 31, 2020 and 2019, warrant holders exercised warrants to purchase 0.0 million and 0.7 million shares of common stock. No proceeds were received from these exercises as the warrant holders elected to surrender shares to pay the exercise price. At December 31, 2020 and 2019, the remaining warrant holders are entitled to purchase 1.4 million shares of common stock, respectively.</w:t>
      </w:r>
    </w:p>
    <w:p>
      <w:pPr>
        <w:spacing w:after="0" w:line="132" w:lineRule="exact"/>
        <w:rPr>
          <w:sz w:val="20"/>
          <w:szCs w:val="20"/>
          <w:color w:val="auto"/>
        </w:rPr>
      </w:pPr>
    </w:p>
    <w:p>
      <w:pPr>
        <w:jc w:val="both"/>
        <w:ind w:right="200" w:firstLine="324"/>
        <w:spacing w:after="0" w:line="281" w:lineRule="auto"/>
        <w:rPr>
          <w:sz w:val="20"/>
          <w:szCs w:val="20"/>
          <w:color w:val="auto"/>
        </w:rPr>
      </w:pPr>
      <w:r>
        <w:rPr>
          <w:rFonts w:ascii="Arial" w:cs="Arial" w:eastAsia="Arial" w:hAnsi="Arial"/>
          <w:sz w:val="17"/>
          <w:szCs w:val="17"/>
          <w:b w:val="1"/>
          <w:bCs w:val="1"/>
          <w:color w:val="auto"/>
        </w:rPr>
        <w:t xml:space="preserve">2015 Warrants </w:t>
      </w:r>
      <w:r>
        <w:rPr>
          <w:rFonts w:ascii="Arial" w:cs="Arial" w:eastAsia="Arial" w:hAnsi="Arial"/>
          <w:sz w:val="17"/>
          <w:szCs w:val="17"/>
          <w:color w:val="auto"/>
        </w:rPr>
        <w:t>— Prior to the Merger, BioScrip issued warrants pursuant to a Common Stock Warrant Agreement dated as of March 9, 2015 which</w:t>
      </w:r>
      <w:r>
        <w:rPr>
          <w:rFonts w:ascii="Arial" w:cs="Arial" w:eastAsia="Arial" w:hAnsi="Arial"/>
          <w:sz w:val="17"/>
          <w:szCs w:val="17"/>
          <w:b w:val="1"/>
          <w:bCs w:val="1"/>
          <w:color w:val="auto"/>
        </w:rPr>
        <w:t xml:space="preserve"> </w:t>
      </w:r>
      <w:r>
        <w:rPr>
          <w:rFonts w:ascii="Arial" w:cs="Arial" w:eastAsia="Arial" w:hAnsi="Arial"/>
          <w:sz w:val="17"/>
          <w:szCs w:val="17"/>
          <w:color w:val="auto"/>
        </w:rPr>
        <w:t>entitle the holders to purchase 0.9 million shares of common stock. The 2015 Warrants have a 10-year term and have exercise prices in a range of $20.68 per share to $25.80 per share. The 2015 Warrants were assumed by the Company in conjunction with the Merger and are classified as equity instruments, and the fair value of these warrants of $4.6 million was recorded in paid in capital as of the Merger Date.</w:t>
      </w:r>
    </w:p>
    <w:p>
      <w:pPr>
        <w:spacing w:after="0" w:line="1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Home Solutions Restricted Stock </w:t>
      </w:r>
      <w:r>
        <w:rPr>
          <w:rFonts w:ascii="Arial" w:cs="Arial" w:eastAsia="Arial" w:hAnsi="Arial"/>
          <w:sz w:val="16"/>
          <w:szCs w:val="16"/>
          <w:color w:val="auto"/>
        </w:rPr>
        <w:t>— In conjunction with BioScrip’s 2016 acquisition of Home Solutions, Inc., 1.8 million restricted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were issued, of which 0.8 million of these units vest upon the closing price of the Company’s common stock averaging at or above $16.00 per share over 20 consecutive trading days prior to December 31, 2019 and 1.0 million of these units vest upon the closing price of the Company’s common stock averaging at or above $20.00 per share over 20 consecutive trading days prior to December 31, 2019. The restricted stock expired on December 31, 2019. As discussed in Note 1, </w:t>
      </w:r>
      <w:r>
        <w:rPr>
          <w:rFonts w:ascii="Arial" w:cs="Arial" w:eastAsia="Arial" w:hAnsi="Arial"/>
          <w:sz w:val="16"/>
          <w:szCs w:val="16"/>
          <w:i w:val="1"/>
          <w:iCs w:val="1"/>
          <w:color w:val="auto"/>
        </w:rPr>
        <w:t>Nature of Operations and Presentation of Financial Statements</w:t>
      </w:r>
      <w:r>
        <w:rPr>
          <w:rFonts w:ascii="Arial" w:cs="Arial" w:eastAsia="Arial" w:hAnsi="Arial"/>
          <w:sz w:val="16"/>
          <w:szCs w:val="16"/>
          <w:color w:val="auto"/>
        </w:rPr>
        <w:t>, 7,048,357 common shares issued to HC I in conjunction with the Merger were set aside to prevent dilution related to the vesting of the Home Solutions restricted stock. During the year ended December 31, 2020, this matter was resolved with no common shares being issued to Home Solutions, Inc., and the 7,048,357 shares, at $0.0001 par value, set aside were cancelled as unvested and removed from the Company’s common shares issued and outstanding.</w:t>
      </w:r>
    </w:p>
    <w:p>
      <w:pPr>
        <w:spacing w:after="0" w:line="119"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 During the year ended December 31, 2019, 290,117 shares were surrendered to satisfy tax withholding obligations on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options and the vesting of restricted stock awards with a cost basis of $2.5 million, of which $2.4 million remains held in treasury as of December 31, 2020 and 2019. At December 31, 2020 and 2019, the Company held 383,722 shares of treasury stock.</w:t>
      </w:r>
    </w:p>
    <w:p>
      <w:pPr>
        <w:spacing w:after="0" w:line="149"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In conjunction with the Merger, all legacy BioScrip preferred stock was settled, and no preferred stock is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or 2019.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9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b w:val="1"/>
          <w:bCs w:val="1"/>
          <w:color w:val="auto"/>
        </w:rPr>
        <w:t xml:space="preserve">Management Services </w:t>
      </w:r>
      <w:r>
        <w:rPr>
          <w:rFonts w:ascii="Arial" w:cs="Arial" w:eastAsia="Arial" w:hAnsi="Arial"/>
          <w:sz w:val="16"/>
          <w:szCs w:val="16"/>
          <w:color w:val="auto"/>
        </w:rPr>
        <w:t>— In conjunction with the Option Care acquisition from Walgreen Co. in 2015, the Company entered into two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Services Agreements with Madison Dearborn Partners VI-B, L.P. and Walgreen Co. Each Management Services Agreement required the Company to pay $0.3 million to each party quarterly beginning July 1, 2015 for on-going management, consulting and financial services provided to the Company. Following the close of the Merger, both Management Services Agreements were terminated. The Company did not incur any management services expense during the year ended December 31, 2020. In 2019, prior to the Merger, the Company incurred $1.5 million of management services expense, which has been reflected as a component of selling, general and administrative expense in the consolidated statements of comprehensive income (loss) for the year ended December 31, 2019. During the year ended December 31, 2018, management services expense of $2.0 million was recorded as a component of selling, general, and administrative expense in the consolidated statements of comprehensive income (loss).</w:t>
      </w:r>
    </w:p>
    <w:p>
      <w:pPr>
        <w:spacing w:after="0" w:line="11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 xml:space="preserve">Management Equity Ownership Plan </w:t>
      </w:r>
      <w:r>
        <w:rPr>
          <w:rFonts w:ascii="Arial" w:cs="Arial" w:eastAsia="Arial" w:hAnsi="Arial"/>
          <w:sz w:val="18"/>
          <w:szCs w:val="18"/>
          <w:color w:val="auto"/>
        </w:rPr>
        <w:t>— In October 2015, HC I implemented an equity ownership and incentive plan for certain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Option Care. The officers were able to purchase membership units in HC I and could fund a portion of the purchase with a loan from Option Care. These loans were treated as a shareholder contribution in Option Care. For the years ended December 31, 2020, 2019 and 2018, $0, $0 and $0.4 million, respectively, were credited to paid-in capital related to HC I membership units purchased with a loan from Option Care. There were no shareholder redemptions during the year ended December 31, 2020. During the year ended December 31, 2019, shareholder redemptions totaled $2.4 million, comprised of a cash distribution to HC I of $2.0 million and notes redeemed of $0.4 million. There were no shareholder redemptions during the year ended December 31, 2018.</w:t>
      </w:r>
    </w:p>
    <w:p>
      <w:pPr>
        <w:spacing w:after="0" w:line="15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During the year ended December 31, 2019, prior to the Merger, Option Care sold its notes receivable from management, along with all accrued interest expense, to a third-party bank. Option Care received cash proceeds of $1.3 million, which represented payment of $1.1 million in outstanding notes receivable from management and payment of $0.2 million in accrued interest expense. There were no notes receivable from management outstanding as of December 31, 2020 and 2019. As of December 31, 2018, notes receivable from management and associated interest receivable of $1.6 million are recorded in management notes receivable as a reduction to equity in the Company’s consolidated statements of stockholders’ equity.</w:t>
      </w:r>
    </w:p>
    <w:p>
      <w:pPr>
        <w:spacing w:after="0" w:line="145"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$2.9 million, $2.5 million and $2.2 million for the years ended December 31, 2020, 2019 and 2018, respectively. Management fees are recorded in net revenues in the accompanying consolidated statements of comprehensive income (loss).</w:t>
      </w:r>
    </w:p>
    <w:p>
      <w:pPr>
        <w:spacing w:after="0" w:line="12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had amounts due from its joint ventures of $2.4 million as of December 31, 2020. The Company had amounts due to its joint ventures of $4.3 million as of December 31, 2019. These receivables were included in prepaid expenses and other current assets in the accompanying balance sheets and these payables were included in accrued expenses and other current liabilities in the accompanying balance sheets. These balances primarily relate to cash collections received by the Company on behalf of the joint ventures, offset by certain pharmaceutical inventories purchased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summary of unaudited quarterly financial information for the years ended December 31, 2020 and 2019 is as follows (in thousands except per share amounts).</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Quarter</w:t>
            </w: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180" w:type="dxa"/>
            <w:vAlign w:val="bottom"/>
          </w:tcPr>
          <w:p>
            <w:pPr>
              <w:spacing w:after="0"/>
              <w:rPr>
                <w:sz w:val="18"/>
                <w:szCs w:val="18"/>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b w:val="1"/>
                <w:bCs w:val="1"/>
                <w:color w:val="auto"/>
              </w:rPr>
              <w:t>Fourth Quarter</w:t>
            </w:r>
          </w:p>
        </w:tc>
      </w:tr>
      <w:tr>
        <w:trPr>
          <w:trHeight w:val="19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Net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705,440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740,848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781,609</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804,713</w:t>
            </w: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183,762</w:t>
            </w: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44,343</w:t>
            </w: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17,839</w:t>
            </w:r>
          </w:p>
        </w:tc>
      </w:tr>
      <w:tr>
        <w:trPr>
          <w:trHeight w:val="270"/>
        </w:trPr>
        <w:tc>
          <w:tcPr>
            <w:tcW w:w="3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1"/>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earnings per share, 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940" w:type="dxa"/>
            <w:vAlign w:val="bottom"/>
          </w:tcPr>
          <w:p>
            <w:pPr>
              <w:ind w:left="140"/>
              <w:spacing w:after="0"/>
              <w:rPr>
                <w:sz w:val="20"/>
                <w:szCs w:val="20"/>
                <w:color w:val="auto"/>
              </w:rPr>
            </w:pPr>
            <w:r>
              <w:rPr>
                <w:rFonts w:ascii="Arial" w:cs="Arial" w:eastAsia="Arial" w:hAnsi="Arial"/>
                <w:sz w:val="16"/>
                <w:szCs w:val="16"/>
                <w:color w:val="auto"/>
              </w:rPr>
              <w:t>(Loss) earnings per share, 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9"/>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Quarter</w:t>
            </w:r>
          </w:p>
        </w:tc>
        <w:tc>
          <w:tcPr>
            <w:tcW w:w="18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180" w:type="dxa"/>
            <w:vAlign w:val="bottom"/>
          </w:tcPr>
          <w:p>
            <w:pPr>
              <w:spacing w:after="0"/>
              <w:rPr>
                <w:sz w:val="24"/>
                <w:szCs w:val="24"/>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b w:val="1"/>
                <w:bCs w:val="1"/>
                <w:color w:val="auto"/>
              </w:rPr>
              <w:t>Fourth Quarter</w:t>
            </w:r>
          </w:p>
        </w:tc>
      </w:tr>
      <w:tr>
        <w:trPr>
          <w:trHeight w:val="19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Net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476,492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497,266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615,880</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720,779</w:t>
            </w: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175,642</w:t>
            </w: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13,973</w:t>
            </w: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(15,811)</w:t>
            </w:r>
          </w:p>
        </w:tc>
      </w:tr>
      <w:tr>
        <w:trPr>
          <w:trHeight w:val="270"/>
        </w:trPr>
        <w:tc>
          <w:tcPr>
            <w:tcW w:w="3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1"/>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per share, 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940" w:type="dxa"/>
            <w:vAlign w:val="bottom"/>
          </w:tcPr>
          <w:p>
            <w:pPr>
              <w:ind w:left="140"/>
              <w:spacing w:after="0"/>
              <w:rPr>
                <w:sz w:val="20"/>
                <w:szCs w:val="20"/>
                <w:color w:val="auto"/>
              </w:rPr>
            </w:pPr>
            <w:r>
              <w:rPr>
                <w:rFonts w:ascii="Arial" w:cs="Arial" w:eastAsia="Arial" w:hAnsi="Arial"/>
                <w:sz w:val="16"/>
                <w:szCs w:val="16"/>
                <w:color w:val="auto"/>
              </w:rPr>
              <w:t>Loss per share, 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net loss in the third quarter of 2019 included transaction expenses, integration costs and loss on extinguishment of debt incurred in conjunction with the Merger.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December 31, 2020 and noted the following subsequent event:</w:t>
      </w:r>
    </w:p>
    <w:p>
      <w:pPr>
        <w:spacing w:after="0" w:line="196"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In January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In connection with the First Lien Credit Agreement Amendment and prepayment of the Second Lien Notes the Company incurred debt prepayment penalties of $4.9 million, third party fees of $1.3 million and original issue discount of $1.0 million. Following the First Lien Credit Agreement Amendment, the First Lien Term Loan is repayable in quarterly installments of $2.9 million plus interest, with a final payment of all remaining outstanding principal due on August 6, 2026.</w:t>
      </w:r>
    </w:p>
    <w:p>
      <w:pPr>
        <w:spacing w:after="0" w:line="221"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In February 2021, HC I completed a secondary offering of 17,250,000 shares of the Company’s common stock. Following the offering, HC I holds approximately 54% of the Company’s common stock.</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as appropriate to allow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8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defined in Rules 13a-15(f) and 15d-15(f) under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Our management, with the participation of the CEO and CFO, assessed the effectiveness of the Company’s internal control over financial reporting. Based on the criteria for effective internal control over financial reporting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management concluded that the internal control over financial reporting was effective as of December 31, 2020.</w:t>
      </w:r>
    </w:p>
    <w:p>
      <w:pPr>
        <w:spacing w:after="0" w:line="16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described in Part II, Item 9a of our Annual Report on form 10-K for the year ended December 31, 2019, the Merger with BioScrip was completed on August 6, 2019, and represented a change in internal control over financial reporting. During the year ended December 31, 2020 management consolidated and integrated BioScrip’s system of controls. The processes and controls for significant areas, including business combinations, intangibles and goodwill valuations, income taxes, treasury, consolidations and the preparation of financial statements and related disclosures, compensation and benefits, procure to pay, inventory and order to receipt have all been substantially impacted by the integration activities. The primary changes in these areas are related to the consolidation of process owner leadership and control owners, and where required, the modification of inputs, processes and associated systems. For all areas of change noted, management believes the control design and implementation thereof are being appropriately modified to address underlying risks.</w:t>
      </w:r>
    </w:p>
    <w:p>
      <w:pPr>
        <w:spacing w:after="0" w:line="16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There were no other changes during the year ended December 31, 2020 that have materially affected, or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Stockholders and Board of Directors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 Care Health, Inc.:</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63" w:lineRule="exact"/>
        <w:rPr>
          <w:sz w:val="20"/>
          <w:szCs w:val="20"/>
          <w:color w:val="auto"/>
        </w:rPr>
      </w:pPr>
    </w:p>
    <w:p>
      <w:pPr>
        <w:ind w:left="80" w:right="20"/>
        <w:spacing w:after="0" w:line="257" w:lineRule="auto"/>
        <w:rPr>
          <w:sz w:val="20"/>
          <w:szCs w:val="20"/>
          <w:color w:val="auto"/>
        </w:rPr>
      </w:pPr>
      <w:r>
        <w:rPr>
          <w:rFonts w:ascii="Arial" w:cs="Arial" w:eastAsia="Arial" w:hAnsi="Arial"/>
          <w:sz w:val="18"/>
          <w:szCs w:val="18"/>
          <w:color w:val="auto"/>
        </w:rPr>
        <w:t xml:space="preserve">We have audited Option Care Health, Inc.and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ind w:left="80" w:right="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comprehensive income (loss), stockholders’ equity, and cash flows for each of the years in the three-year period ended December 31, 2020, and the related notes (collectively, the consolidated financial statements), and our report dated March 11, 2021 expressed an unqualified opinion on those consolidated financial statements.</w:t>
      </w:r>
    </w:p>
    <w:p>
      <w:pPr>
        <w:spacing w:after="0" w:line="4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Basis for Opinion</w:t>
      </w:r>
    </w:p>
    <w:p>
      <w:pPr>
        <w:spacing w:after="0" w:line="63" w:lineRule="exact"/>
        <w:rPr>
          <w:sz w:val="20"/>
          <w:szCs w:val="20"/>
          <w:color w:val="auto"/>
        </w:rPr>
      </w:pPr>
    </w:p>
    <w:p>
      <w:pPr>
        <w:ind w:left="80"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8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63" w:lineRule="exact"/>
        <w:rPr>
          <w:sz w:val="20"/>
          <w:szCs w:val="20"/>
          <w:color w:val="auto"/>
        </w:rPr>
      </w:pPr>
    </w:p>
    <w:p>
      <w:pPr>
        <w:ind w:left="8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left="80" w:right="10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Chicago, Illinois March 11,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adopted a Code of Ethics that applies to all of our directors, officers and employees, including our principal executive, principal financial and principal accounting officers, or persons performing similar functions. Our Code of Ethics is posted on our website located at http://investors.optioncarehealth.com/corporate-governance/highlights. We intend to disclose future amendments to certain provisions of the Code of Ethics, and waivers of the Code of Ethics granted to executive officers and directors, on our website.</w:t>
      </w:r>
    </w:p>
    <w:p>
      <w:pPr>
        <w:spacing w:after="0" w:line="16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other information required by this item is incorporated by reference from the information contained in our definitive proxy statement to be filed with the SEC no later than 120 days after December 31, 2020 in connection with our 2021 Annual Meeting of Stockholders.</w:t>
      </w:r>
    </w:p>
    <w:p>
      <w:pPr>
        <w:spacing w:after="0" w:line="1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2020 in connection with our 2021 Annual Meeting of Stockholders.</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2020 in connection with our 2021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2020 in connection with our 2021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2020 in connection with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40" w:type="dxa"/>
            <w:vAlign w:val="bottom"/>
            <w:gridSpan w:val="14"/>
          </w:tcPr>
          <w:p>
            <w:pPr>
              <w:jc w:val="center"/>
              <w:ind w:right="4059"/>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9960" w:type="dxa"/>
            <w:vAlign w:val="bottom"/>
            <w:gridSpan w:val="18"/>
          </w:tcPr>
          <w:p>
            <w:pPr>
              <w:ind w:left="180"/>
              <w:spacing w:after="0"/>
              <w:rPr>
                <w:sz w:val="20"/>
                <w:szCs w:val="20"/>
                <w:color w:val="auto"/>
              </w:rPr>
            </w:pPr>
            <w:r>
              <w:rPr>
                <w:rFonts w:ascii="Arial" w:cs="Arial" w:eastAsia="Arial" w:hAnsi="Arial"/>
                <w:sz w:val="18"/>
                <w:szCs w:val="18"/>
                <w:b w:val="1"/>
                <w:bCs w:val="1"/>
                <w:i w:val="1"/>
                <w:iCs w:val="1"/>
                <w:color w:val="auto"/>
              </w:rPr>
              <w:t>Exhibits, Financial Statement Schedules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60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(a)(1) Financial Statements.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0" w:type="dxa"/>
            <w:vAlign w:val="bottom"/>
            <w:gridSpan w:val="15"/>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720" w:type="dxa"/>
            <w:vAlign w:val="bottom"/>
            <w:gridSpan w:val="19"/>
          </w:tcPr>
          <w:p>
            <w:pPr>
              <w:spacing w:after="0"/>
              <w:rPr>
                <w:sz w:val="20"/>
                <w:szCs w:val="20"/>
                <w:color w:val="auto"/>
              </w:rPr>
            </w:pPr>
            <w:r>
              <w:rPr>
                <w:rFonts w:ascii="Arial" w:cs="Arial" w:eastAsia="Arial" w:hAnsi="Arial"/>
                <w:sz w:val="18"/>
                <w:szCs w:val="18"/>
                <w:color w:val="auto"/>
              </w:rPr>
              <w:t>The following financial statements appear in Part II, Item 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720" w:type="dxa"/>
            <w:vAlign w:val="bottom"/>
            <w:gridSpan w:val="19"/>
          </w:tcPr>
          <w:p>
            <w:pPr>
              <w:ind w:left="320"/>
              <w:spacing w:after="0"/>
              <w:rPr>
                <w:sz w:val="20"/>
                <w:szCs w:val="20"/>
                <w:color w:val="auto"/>
              </w:rPr>
            </w:pPr>
            <w:r>
              <w:rPr>
                <w:rFonts w:ascii="Arial" w:cs="Arial" w:eastAsia="Arial" w:hAnsi="Arial"/>
                <w:sz w:val="18"/>
                <w:szCs w:val="18"/>
                <w:color w:val="auto"/>
              </w:rPr>
              <w:t>Report of Independent Registered Public Accounting Firm</w:t>
            </w:r>
          </w:p>
        </w:tc>
        <w:tc>
          <w:tcPr>
            <w:tcW w:w="320" w:type="dxa"/>
            <w:vAlign w:val="bottom"/>
            <w:gridSpan w:val="2"/>
          </w:tcPr>
          <w:p>
            <w:pPr>
              <w:jc w:val="cente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47</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720" w:type="dxa"/>
            <w:vAlign w:val="bottom"/>
            <w:gridSpan w:val="19"/>
          </w:tcPr>
          <w:p>
            <w:pPr>
              <w:ind w:left="320"/>
              <w:spacing w:after="0"/>
              <w:rPr>
                <w:sz w:val="20"/>
                <w:szCs w:val="20"/>
                <w:color w:val="auto"/>
              </w:rPr>
            </w:pPr>
            <w:r>
              <w:rPr>
                <w:rFonts w:ascii="Arial" w:cs="Arial" w:eastAsia="Arial" w:hAnsi="Arial"/>
                <w:sz w:val="18"/>
                <w:szCs w:val="18"/>
                <w:color w:val="auto"/>
              </w:rPr>
              <w:t>Consolidated Balance Sheets as of December 31, 2020 and 2019</w:t>
            </w:r>
          </w:p>
        </w:tc>
        <w:tc>
          <w:tcPr>
            <w:tcW w:w="320" w:type="dxa"/>
            <w:vAlign w:val="bottom"/>
            <w:gridSpan w:val="2"/>
          </w:tcPr>
          <w:p>
            <w:pPr>
              <w:jc w:val="cente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49</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720" w:type="dxa"/>
            <w:vAlign w:val="bottom"/>
            <w:gridSpan w:val="19"/>
          </w:tcPr>
          <w:p>
            <w:pPr>
              <w:ind w:left="320"/>
              <w:spacing w:after="0"/>
              <w:rPr>
                <w:sz w:val="20"/>
                <w:szCs w:val="20"/>
                <w:color w:val="auto"/>
              </w:rPr>
            </w:pPr>
            <w:r>
              <w:rPr>
                <w:rFonts w:ascii="Arial" w:cs="Arial" w:eastAsia="Arial" w:hAnsi="Arial"/>
                <w:sz w:val="18"/>
                <w:szCs w:val="18"/>
                <w:color w:val="auto"/>
              </w:rPr>
              <w:t>Consolidated Statements of Comprehensive Income (Loss) for the years ended December 31, 2020, 2019 and 2018</w:t>
            </w:r>
          </w:p>
        </w:tc>
        <w:tc>
          <w:tcPr>
            <w:tcW w:w="320" w:type="dxa"/>
            <w:vAlign w:val="bottom"/>
            <w:gridSpan w:val="2"/>
          </w:tcPr>
          <w:p>
            <w:pPr>
              <w:jc w:val="cente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50</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720" w:type="dxa"/>
            <w:vAlign w:val="bottom"/>
            <w:gridSpan w:val="19"/>
          </w:tcPr>
          <w:p>
            <w:pPr>
              <w:ind w:left="32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tc>
        <w:tc>
          <w:tcPr>
            <w:tcW w:w="320" w:type="dxa"/>
            <w:vAlign w:val="bottom"/>
            <w:gridSpan w:val="2"/>
          </w:tcPr>
          <w:p>
            <w:pPr>
              <w:jc w:val="cente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720" w:type="dxa"/>
            <w:vAlign w:val="bottom"/>
            <w:gridSpan w:val="19"/>
          </w:tcPr>
          <w:p>
            <w:pPr>
              <w:ind w:left="320"/>
              <w:spacing w:after="0"/>
              <w:rPr>
                <w:sz w:val="20"/>
                <w:szCs w:val="20"/>
                <w:color w:val="auto"/>
              </w:rPr>
            </w:pPr>
            <w:r>
              <w:rPr>
                <w:rFonts w:ascii="Arial" w:cs="Arial" w:eastAsia="Arial" w:hAnsi="Arial"/>
                <w:sz w:val="18"/>
                <w:szCs w:val="18"/>
                <w:color w:val="auto"/>
              </w:rPr>
              <w:t>Consolidated Statements of Stockholders’ Equity for the years ended December 31, 2020, 2019 and 2018</w:t>
            </w:r>
          </w:p>
        </w:tc>
        <w:tc>
          <w:tcPr>
            <w:tcW w:w="320" w:type="dxa"/>
            <w:vAlign w:val="bottom"/>
            <w:gridSpan w:val="2"/>
          </w:tcPr>
          <w:p>
            <w:pPr>
              <w:jc w:val="cente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52</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720" w:type="dxa"/>
            <w:vAlign w:val="bottom"/>
            <w:gridSpan w:val="19"/>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320" w:type="dxa"/>
            <w:vAlign w:val="bottom"/>
            <w:gridSpan w:val="2"/>
          </w:tcPr>
          <w:p>
            <w:pPr>
              <w:jc w:val="cente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53</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720" w:type="dxa"/>
            <w:vAlign w:val="bottom"/>
            <w:gridSpan w:val="19"/>
          </w:tcPr>
          <w:p>
            <w:pPr>
              <w:spacing w:after="0"/>
              <w:rPr>
                <w:sz w:val="20"/>
                <w:szCs w:val="20"/>
                <w:color w:val="auto"/>
              </w:rPr>
            </w:pPr>
            <w:r>
              <w:rPr>
                <w:rFonts w:ascii="Arial" w:cs="Arial" w:eastAsia="Arial" w:hAnsi="Arial"/>
                <w:sz w:val="18"/>
                <w:szCs w:val="18"/>
                <w:color w:val="auto"/>
              </w:rPr>
              <w:t>All other schedules not listed above have been omitted since they are not applicable or are not required.</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(a)(3) Exhibits.</w:t>
            </w: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gridSpan w:val="14"/>
          </w:tcPr>
          <w:p>
            <w:pPr>
              <w:jc w:val="center"/>
              <w:ind w:right="4059"/>
              <w:spacing w:after="0"/>
              <w:rPr>
                <w:sz w:val="20"/>
                <w:szCs w:val="20"/>
                <w:color w:val="auto"/>
              </w:rPr>
            </w:pPr>
            <w:r>
              <w:rPr>
                <w:rFonts w:ascii="Arial" w:cs="Arial" w:eastAsia="Arial" w:hAnsi="Arial"/>
                <w:sz w:val="18"/>
                <w:szCs w:val="18"/>
                <w:b w:val="1"/>
                <w:bCs w:val="1"/>
                <w:color w:val="auto"/>
                <w:w w:val="91"/>
              </w:rPr>
              <w:t>Index to Exhibits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Description</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gridSpan w:val="2"/>
          </w:tcPr>
          <w:p>
            <w:pPr>
              <w:ind w:left="40"/>
              <w:spacing w:after="0" w:line="155" w:lineRule="exact"/>
              <w:rPr>
                <w:sz w:val="20"/>
                <w:szCs w:val="20"/>
                <w:color w:val="auto"/>
              </w:rPr>
            </w:pPr>
            <w:r>
              <w:rPr>
                <w:rFonts w:ascii="Arial" w:cs="Arial" w:eastAsia="Arial" w:hAnsi="Arial"/>
                <w:sz w:val="16"/>
                <w:szCs w:val="16"/>
                <w:color w:val="auto"/>
              </w:rPr>
              <w:t>2.1+</w:t>
            </w:r>
          </w:p>
        </w:tc>
        <w:tc>
          <w:tcPr>
            <w:tcW w:w="700" w:type="dxa"/>
            <w:vAlign w:val="bottom"/>
          </w:tcPr>
          <w:p>
            <w:pPr>
              <w:spacing w:after="0"/>
              <w:rPr>
                <w:sz w:val="14"/>
                <w:szCs w:val="14"/>
                <w:color w:val="auto"/>
              </w:rPr>
            </w:pPr>
          </w:p>
        </w:tc>
        <w:tc>
          <w:tcPr>
            <w:tcW w:w="9260" w:type="dxa"/>
            <w:vAlign w:val="bottom"/>
            <w:gridSpan w:val="17"/>
          </w:tcPr>
          <w:p>
            <w:pPr>
              <w:spacing w:after="0" w:line="155" w:lineRule="exact"/>
              <w:rPr>
                <w:rFonts w:ascii="Arial" w:cs="Arial" w:eastAsia="Arial" w:hAnsi="Arial"/>
                <w:sz w:val="16"/>
                <w:szCs w:val="16"/>
                <w:color w:val="0000FF"/>
                <w:w w:val="93"/>
              </w:rPr>
            </w:pPr>
            <w:hyperlink r:id="rId94">
              <w:r>
                <w:rPr>
                  <w:rFonts w:ascii="Arial" w:cs="Arial" w:eastAsia="Arial" w:hAnsi="Arial"/>
                  <w:sz w:val="16"/>
                  <w:szCs w:val="16"/>
                  <w:color w:val="0000FF"/>
                  <w:w w:val="93"/>
                </w:rPr>
                <w:t>Agreement and Plan of Merger, dated as of January 24, 2010, by and among BioScrip, Inc. (the “Company”), and the parties set forth on the</w:t>
              </w:r>
            </w:hyperlink>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00" w:type="dxa"/>
            <w:vAlign w:val="bottom"/>
            <w:tcBorders>
              <w:top w:val="single" w:sz="8" w:color="0000FF"/>
            </w:tcBorders>
            <w:gridSpan w:val="12"/>
          </w:tcPr>
          <w:p>
            <w:pPr>
              <w:spacing w:after="0" w:line="142" w:lineRule="exact"/>
              <w:rPr>
                <w:rFonts w:ascii="Arial" w:cs="Arial" w:eastAsia="Arial" w:hAnsi="Arial"/>
                <w:sz w:val="16"/>
                <w:szCs w:val="16"/>
                <w:color w:val="0000FF"/>
                <w:w w:val="92"/>
              </w:rPr>
            </w:pPr>
            <w:hyperlink r:id="rId94">
              <w:r>
                <w:rPr>
                  <w:rFonts w:ascii="Arial" w:cs="Arial" w:eastAsia="Arial" w:hAnsi="Arial"/>
                  <w:sz w:val="16"/>
                  <w:szCs w:val="16"/>
                  <w:color w:val="0000FF"/>
                  <w:w w:val="92"/>
                </w:rPr>
                <w:t>signature page (Incorporated by reference to Exhibit 2.1 to the Company’s Current Report on Form 8-K filed on January 27, 2010, SEC File</w:t>
              </w:r>
            </w:hyperlink>
          </w:p>
        </w:tc>
        <w:tc>
          <w:tcPr>
            <w:tcW w:w="640" w:type="dxa"/>
            <w:vAlign w:val="bottom"/>
            <w:gridSpan w:val="13"/>
          </w:tcPr>
          <w:p>
            <w:pPr>
              <w:ind w:left="20"/>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Number</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0"/>
              </w:rPr>
            </w:pPr>
            <w:hyperlink r:id="rId94">
              <w:r>
                <w:rPr>
                  <w:rFonts w:ascii="Arial" w:cs="Arial" w:eastAsia="Arial" w:hAnsi="Arial"/>
                  <w:sz w:val="16"/>
                  <w:szCs w:val="16"/>
                  <w:color w:val="0000FF"/>
                  <w:w w:val="90"/>
                </w:rPr>
                <w:t>0-28740).</w:t>
              </w:r>
            </w:hyperlink>
          </w:p>
        </w:tc>
        <w:tc>
          <w:tcPr>
            <w:tcW w:w="2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6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2.2+</w:t>
            </w:r>
          </w:p>
        </w:tc>
        <w:tc>
          <w:tcPr>
            <w:tcW w:w="700" w:type="dxa"/>
            <w:vAlign w:val="bottom"/>
          </w:tcPr>
          <w:p>
            <w:pPr>
              <w:spacing w:after="0"/>
              <w:rPr>
                <w:sz w:val="17"/>
                <w:szCs w:val="17"/>
                <w:color w:val="auto"/>
              </w:rPr>
            </w:pPr>
          </w:p>
        </w:tc>
        <w:tc>
          <w:tcPr>
            <w:tcW w:w="9740" w:type="dxa"/>
            <w:vAlign w:val="bottom"/>
            <w:gridSpan w:val="25"/>
          </w:tcPr>
          <w:p>
            <w:pPr>
              <w:spacing w:after="0" w:line="183" w:lineRule="exact"/>
              <w:rPr>
                <w:rFonts w:ascii="Arial" w:cs="Arial" w:eastAsia="Arial" w:hAnsi="Arial"/>
                <w:sz w:val="16"/>
                <w:szCs w:val="16"/>
                <w:color w:val="0000FF"/>
                <w:w w:val="92"/>
              </w:rPr>
            </w:pPr>
            <w:hyperlink r:id="rId95">
              <w:r>
                <w:rPr>
                  <w:rFonts w:ascii="Arial" w:cs="Arial" w:eastAsia="Arial" w:hAnsi="Arial"/>
                  <w:sz w:val="16"/>
                  <w:szCs w:val="16"/>
                  <w:color w:val="0000FF"/>
                  <w:w w:val="92"/>
                </w:rPr>
                <w:t>Stock Purchase Agreement, dated as of December 12, 2012, by and among HomeChoice Partners, Inc., DaVita HealthCare Partners Inc., Mary Ann</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6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2"/>
              </w:rPr>
            </w:pPr>
            <w:hyperlink r:id="rId95">
              <w:r>
                <w:rPr>
                  <w:rFonts w:ascii="Arial" w:cs="Arial" w:eastAsia="Arial" w:hAnsi="Arial"/>
                  <w:sz w:val="16"/>
                  <w:szCs w:val="16"/>
                  <w:color w:val="0000FF"/>
                  <w:w w:val="92"/>
                </w:rPr>
                <w:t>Cope, R.Ph., Kathy F. Puglise, RN, CRNI, Joseph W. Boyd, R.Ph., Barbara J. Exum, PharmD and the Company (Incorporated by reference to</w:t>
              </w:r>
            </w:hyperlink>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20" w:type="dxa"/>
            <w:vAlign w:val="bottom"/>
            <w:tcBorders>
              <w:bottom w:val="single" w:sz="8" w:color="0000FF"/>
            </w:tcBorders>
            <w:gridSpan w:val="11"/>
          </w:tcPr>
          <w:p>
            <w:pPr>
              <w:spacing w:after="0" w:line="142" w:lineRule="exact"/>
              <w:rPr>
                <w:rFonts w:ascii="Arial" w:cs="Arial" w:eastAsia="Arial" w:hAnsi="Arial"/>
                <w:sz w:val="16"/>
                <w:szCs w:val="16"/>
                <w:color w:val="0000FF"/>
                <w:w w:val="92"/>
              </w:rPr>
            </w:pPr>
            <w:hyperlink r:id="rId95">
              <w:r>
                <w:rPr>
                  <w:rFonts w:ascii="Arial" w:cs="Arial" w:eastAsia="Arial" w:hAnsi="Arial"/>
                  <w:sz w:val="16"/>
                  <w:szCs w:val="16"/>
                  <w:color w:val="0000FF"/>
                  <w:w w:val="92"/>
                </w:rPr>
                <w:t>Exhibit 2.1 to the Company’s Current Report on Form 8-K filed on February 4, 2013, SEC File Number 0-28740).</w:t>
              </w:r>
            </w:hyperlink>
          </w:p>
        </w:tc>
        <w:tc>
          <w:tcPr>
            <w:tcW w:w="1840" w:type="dxa"/>
            <w:vAlign w:val="bottom"/>
            <w:gridSpan w:val="6"/>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2.3</w:t>
            </w:r>
          </w:p>
        </w:tc>
        <w:tc>
          <w:tcPr>
            <w:tcW w:w="700" w:type="dxa"/>
            <w:vAlign w:val="bottom"/>
          </w:tcPr>
          <w:p>
            <w:pPr>
              <w:spacing w:after="0"/>
              <w:rPr>
                <w:sz w:val="17"/>
                <w:szCs w:val="17"/>
                <w:color w:val="auto"/>
              </w:rPr>
            </w:pPr>
          </w:p>
        </w:tc>
        <w:tc>
          <w:tcPr>
            <w:tcW w:w="9260" w:type="dxa"/>
            <w:vAlign w:val="bottom"/>
            <w:gridSpan w:val="17"/>
          </w:tcPr>
          <w:p>
            <w:pPr>
              <w:spacing w:after="0"/>
              <w:rPr>
                <w:rFonts w:ascii="Arial" w:cs="Arial" w:eastAsia="Arial" w:hAnsi="Arial"/>
                <w:sz w:val="16"/>
                <w:szCs w:val="16"/>
                <w:color w:val="0000FF"/>
                <w:w w:val="92"/>
              </w:rPr>
            </w:pPr>
            <w:hyperlink r:id="rId96">
              <w:r>
                <w:rPr>
                  <w:rFonts w:ascii="Arial" w:cs="Arial" w:eastAsia="Arial" w:hAnsi="Arial"/>
                  <w:sz w:val="16"/>
                  <w:szCs w:val="16"/>
                  <w:color w:val="0000FF"/>
                  <w:w w:val="92"/>
                </w:rPr>
                <w:t>Asset Purchase Agreement, dated June 11, 2016, by and among HS Infusion Holdings, Inc., the direct and indirect subsidiaries of HS Infusion</w:t>
              </w:r>
            </w:hyperlink>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20" w:type="dxa"/>
            <w:vAlign w:val="bottom"/>
            <w:tcBorders>
              <w:top w:val="single" w:sz="8" w:color="0000FF"/>
            </w:tcBorders>
            <w:gridSpan w:val="15"/>
          </w:tcPr>
          <w:p>
            <w:pPr>
              <w:spacing w:after="0" w:line="142" w:lineRule="exact"/>
              <w:rPr>
                <w:rFonts w:ascii="Arial" w:cs="Arial" w:eastAsia="Arial" w:hAnsi="Arial"/>
                <w:sz w:val="16"/>
                <w:szCs w:val="16"/>
                <w:color w:val="0000FF"/>
                <w:w w:val="91"/>
              </w:rPr>
            </w:pPr>
            <w:hyperlink r:id="rId96">
              <w:r>
                <w:rPr>
                  <w:rFonts w:ascii="Arial" w:cs="Arial" w:eastAsia="Arial" w:hAnsi="Arial"/>
                  <w:sz w:val="16"/>
                  <w:szCs w:val="16"/>
                  <w:color w:val="0000FF"/>
                  <w:w w:val="91"/>
                </w:rPr>
                <w:t>Holdings, Inc. set forth on the signature pages, the Company and HomeChoice Partners, Inc. (the “Home Solutions Agreement”). (Incorporated</w:t>
              </w:r>
            </w:hyperlink>
          </w:p>
        </w:tc>
        <w:tc>
          <w:tcPr>
            <w:tcW w:w="20" w:type="dxa"/>
            <w:vAlign w:val="bottom"/>
          </w:tcPr>
          <w:p>
            <w:pPr>
              <w:spacing w:after="0"/>
              <w:rPr>
                <w:sz w:val="12"/>
                <w:szCs w:val="12"/>
                <w:color w:val="auto"/>
              </w:rPr>
            </w:pPr>
          </w:p>
        </w:tc>
        <w:tc>
          <w:tcPr>
            <w:tcW w:w="500" w:type="dxa"/>
            <w:vAlign w:val="bottom"/>
            <w:gridSpan w:val="9"/>
          </w:tcPr>
          <w:p>
            <w:pPr>
              <w:jc w:val="center"/>
              <w:ind w:right="120"/>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by</w:t>
              </w:r>
            </w:hyperlink>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60" w:type="dxa"/>
            <w:vAlign w:val="bottom"/>
            <w:tcBorders>
              <w:top w:val="single" w:sz="8" w:color="0000FF"/>
            </w:tcBorders>
            <w:gridSpan w:val="17"/>
          </w:tcPr>
          <w:p>
            <w:pPr>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reference to Exhibit 2.1 to the Company’s Current Report on Form 8-K filed on June 13, 2016, SEC File Number 000-28740).</w:t>
              </w:r>
            </w:hyperlink>
          </w:p>
        </w:tc>
        <w:tc>
          <w:tcPr>
            <w:tcW w:w="26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0" w:type="dxa"/>
            <w:vAlign w:val="bottom"/>
            <w:gridSpan w:val="2"/>
          </w:tcPr>
          <w:p>
            <w:pPr>
              <w:ind w:left="40"/>
              <w:spacing w:after="0" w:line="172" w:lineRule="exact"/>
              <w:rPr>
                <w:sz w:val="20"/>
                <w:szCs w:val="20"/>
                <w:color w:val="auto"/>
              </w:rPr>
            </w:pPr>
            <w:r>
              <w:rPr>
                <w:rFonts w:ascii="Arial" w:cs="Arial" w:eastAsia="Arial" w:hAnsi="Arial"/>
                <w:sz w:val="16"/>
                <w:szCs w:val="16"/>
                <w:color w:val="auto"/>
              </w:rPr>
              <w:t>2.4</w:t>
            </w:r>
          </w:p>
        </w:tc>
        <w:tc>
          <w:tcPr>
            <w:tcW w:w="700" w:type="dxa"/>
            <w:vAlign w:val="bottom"/>
          </w:tcPr>
          <w:p>
            <w:pPr>
              <w:spacing w:after="0"/>
              <w:rPr>
                <w:sz w:val="14"/>
                <w:szCs w:val="14"/>
                <w:color w:val="auto"/>
              </w:rPr>
            </w:pPr>
          </w:p>
        </w:tc>
        <w:tc>
          <w:tcPr>
            <w:tcW w:w="9260" w:type="dxa"/>
            <w:vAlign w:val="bottom"/>
            <w:gridSpan w:val="17"/>
          </w:tcPr>
          <w:p>
            <w:pPr>
              <w:spacing w:after="0" w:line="172"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First Amendment, dated June 16, 2016, to the Home Solutions Agreement (Incorporated by reference to Exhibit 2.1 to the Company’s Current</w:t>
              </w:r>
            </w:hyperlink>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Report on Form 8-K/A filed on June 20, 2016, SEC File Number 000-28740).</w:t>
              </w:r>
            </w:hyperlink>
          </w:p>
        </w:tc>
        <w:tc>
          <w:tcPr>
            <w:tcW w:w="41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2.5</w:t>
            </w:r>
          </w:p>
        </w:tc>
        <w:tc>
          <w:tcPr>
            <w:tcW w:w="700" w:type="dxa"/>
            <w:vAlign w:val="bottom"/>
          </w:tcPr>
          <w:p>
            <w:pPr>
              <w:spacing w:after="0"/>
              <w:rPr>
                <w:sz w:val="17"/>
                <w:szCs w:val="17"/>
                <w:color w:val="auto"/>
              </w:rPr>
            </w:pPr>
          </w:p>
        </w:tc>
        <w:tc>
          <w:tcPr>
            <w:tcW w:w="9740" w:type="dxa"/>
            <w:vAlign w:val="bottom"/>
            <w:gridSpan w:val="25"/>
          </w:tcPr>
          <w:p>
            <w:pPr>
              <w:spacing w:after="0"/>
              <w:rPr>
                <w:rFonts w:ascii="Arial" w:cs="Arial" w:eastAsia="Arial" w:hAnsi="Arial"/>
                <w:sz w:val="16"/>
                <w:szCs w:val="16"/>
                <w:color w:val="0000FF"/>
                <w:w w:val="96"/>
              </w:rPr>
            </w:pPr>
            <w:hyperlink r:id="rId98">
              <w:r>
                <w:rPr>
                  <w:rFonts w:ascii="Arial" w:cs="Arial" w:eastAsia="Arial" w:hAnsi="Arial"/>
                  <w:sz w:val="16"/>
                  <w:szCs w:val="16"/>
                  <w:color w:val="0000FF"/>
                  <w:w w:val="96"/>
                </w:rPr>
                <w:t>Second Amendment, dated September 2, 2016, to the Home Solutions Agreement (Incorporated by reference to Exhibit 2.1 to the Company’s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2"/>
              </w:rPr>
            </w:pPr>
            <w:hyperlink r:id="rId98">
              <w:r>
                <w:rPr>
                  <w:rFonts w:ascii="Arial" w:cs="Arial" w:eastAsia="Arial" w:hAnsi="Arial"/>
                  <w:sz w:val="16"/>
                  <w:szCs w:val="16"/>
                  <w:color w:val="0000FF"/>
                  <w:w w:val="92"/>
                </w:rPr>
                <w:t>Current Report on Form 8-K filed on September 7, 2016, SEC File Number 001-11993).</w:t>
              </w:r>
            </w:hyperlink>
          </w:p>
        </w:tc>
        <w:tc>
          <w:tcPr>
            <w:tcW w:w="3520" w:type="dxa"/>
            <w:vAlign w:val="bottom"/>
            <w:tcBorders>
              <w:top w:val="single" w:sz="8" w:color="0000FF"/>
            </w:tcBorders>
            <w:gridSpan w:val="8"/>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2.6</w:t>
            </w:r>
          </w:p>
        </w:tc>
        <w:tc>
          <w:tcPr>
            <w:tcW w:w="700" w:type="dxa"/>
            <w:vAlign w:val="bottom"/>
          </w:tcPr>
          <w:p>
            <w:pPr>
              <w:spacing w:after="0"/>
              <w:rPr>
                <w:sz w:val="17"/>
                <w:szCs w:val="17"/>
                <w:color w:val="auto"/>
              </w:rPr>
            </w:pPr>
          </w:p>
        </w:tc>
        <w:tc>
          <w:tcPr>
            <w:tcW w:w="9740" w:type="dxa"/>
            <w:vAlign w:val="bottom"/>
            <w:gridSpan w:val="25"/>
          </w:tcPr>
          <w:p>
            <w:pPr>
              <w:spacing w:after="0"/>
              <w:rPr>
                <w:rFonts w:ascii="Arial" w:cs="Arial" w:eastAsia="Arial" w:hAnsi="Arial"/>
                <w:sz w:val="16"/>
                <w:szCs w:val="16"/>
                <w:color w:val="0000FF"/>
                <w:w w:val="93"/>
              </w:rPr>
            </w:pPr>
            <w:hyperlink r:id="rId99">
              <w:r>
                <w:rPr>
                  <w:rFonts w:ascii="Arial" w:cs="Arial" w:eastAsia="Arial" w:hAnsi="Arial"/>
                  <w:sz w:val="16"/>
                  <w:szCs w:val="16"/>
                  <w:color w:val="0000FF"/>
                  <w:w w:val="93"/>
                </w:rPr>
                <w:t>Third Amendment, dated September 9, 2016, to the Home Solutions Agreement (Incorporated by reference to Exhibit 2.1 to the Company’s Current</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Report on Form 8-K filed on September 12, 2016, SEC File Number 001-11993).</w:t>
              </w:r>
            </w:hyperlink>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2.7+</w:t>
            </w:r>
          </w:p>
        </w:tc>
        <w:tc>
          <w:tcPr>
            <w:tcW w:w="700" w:type="dxa"/>
            <w:vAlign w:val="bottom"/>
          </w:tcPr>
          <w:p>
            <w:pPr>
              <w:spacing w:after="0"/>
              <w:rPr>
                <w:sz w:val="17"/>
                <w:szCs w:val="17"/>
                <w:color w:val="auto"/>
              </w:rPr>
            </w:pPr>
          </w:p>
        </w:tc>
        <w:tc>
          <w:tcPr>
            <w:tcW w:w="9700" w:type="dxa"/>
            <w:vAlign w:val="bottom"/>
            <w:tcBorders>
              <w:bottom w:val="single" w:sz="8" w:color="0000FF"/>
            </w:tcBorders>
            <w:gridSpan w:val="22"/>
          </w:tcPr>
          <w:p>
            <w:pPr>
              <w:spacing w:after="0" w:line="183" w:lineRule="exact"/>
              <w:rPr>
                <w:rFonts w:ascii="Arial" w:cs="Arial" w:eastAsia="Arial" w:hAnsi="Arial"/>
                <w:sz w:val="16"/>
                <w:szCs w:val="16"/>
                <w:color w:val="0000FF"/>
                <w:w w:val="95"/>
              </w:rPr>
            </w:pPr>
            <w:hyperlink r:id="rId100">
              <w:r>
                <w:rPr>
                  <w:rFonts w:ascii="Arial" w:cs="Arial" w:eastAsia="Arial" w:hAnsi="Arial"/>
                  <w:sz w:val="16"/>
                  <w:szCs w:val="16"/>
                  <w:color w:val="0000FF"/>
                  <w:w w:val="95"/>
                </w:rPr>
                <w:t>Agreement and Plan of Merger, dated as of March 14, 2019, by and among BioScrip, Inc., Beta Sub, Inc., Beta Sub, LLC, HC Group Holdings I,</w:t>
              </w:r>
            </w:hyperlink>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00" w:type="dxa"/>
            <w:vAlign w:val="bottom"/>
            <w:tcBorders>
              <w:bottom w:val="single" w:sz="8" w:color="0000FF"/>
            </w:tcBorders>
            <w:gridSpan w:val="22"/>
          </w:tcPr>
          <w:p>
            <w:pPr>
              <w:spacing w:after="0" w:line="142" w:lineRule="exact"/>
              <w:rPr>
                <w:rFonts w:ascii="Arial" w:cs="Arial" w:eastAsia="Arial" w:hAnsi="Arial"/>
                <w:sz w:val="16"/>
                <w:szCs w:val="16"/>
                <w:color w:val="0000FF"/>
                <w:w w:val="96"/>
              </w:rPr>
            </w:pPr>
            <w:hyperlink r:id="rId100">
              <w:r>
                <w:rPr>
                  <w:rFonts w:ascii="Arial" w:cs="Arial" w:eastAsia="Arial" w:hAnsi="Arial"/>
                  <w:sz w:val="16"/>
                  <w:szCs w:val="16"/>
                  <w:color w:val="0000FF"/>
                  <w:w w:val="96"/>
                </w:rPr>
                <w:t>LLC, HC Group Holdings II, Inc. and HC Group Holdings III, Inc. (incorporated by reference to Exhibit 2.1 to the Company’s Current Report on</w:t>
              </w:r>
            </w:hyperlink>
          </w:p>
        </w:tc>
        <w:tc>
          <w:tcPr>
            <w:tcW w:w="20" w:type="dxa"/>
            <w:vAlign w:val="bottom"/>
            <w:tcBorders>
              <w:bottom w:val="single" w:sz="8" w:color="0000FF"/>
            </w:tcBorders>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340" w:type="dxa"/>
            <w:vAlign w:val="bottom"/>
            <w:tcBorders>
              <w:bottom w:val="single" w:sz="8" w:color="0000FF"/>
            </w:tcBorders>
            <w:gridSpan w:val="4"/>
          </w:tcPr>
          <w:p>
            <w:pPr>
              <w:spacing w:after="0" w:line="142" w:lineRule="exact"/>
              <w:rPr>
                <w:rFonts w:ascii="Arial" w:cs="Arial" w:eastAsia="Arial" w:hAnsi="Arial"/>
                <w:sz w:val="16"/>
                <w:szCs w:val="16"/>
                <w:color w:val="0000FF"/>
                <w:w w:val="93"/>
              </w:rPr>
            </w:pPr>
            <w:hyperlink r:id="rId100">
              <w:r>
                <w:rPr>
                  <w:rFonts w:ascii="Arial" w:cs="Arial" w:eastAsia="Arial" w:hAnsi="Arial"/>
                  <w:sz w:val="16"/>
                  <w:szCs w:val="16"/>
                  <w:color w:val="0000FF"/>
                  <w:w w:val="93"/>
                </w:rPr>
                <w:t>Form 8-K filed on March 15, 2019, SEC File Number 001-11993).</w:t>
              </w:r>
            </w:hyperlink>
          </w:p>
        </w:tc>
        <w:tc>
          <w:tcPr>
            <w:tcW w:w="4920" w:type="dxa"/>
            <w:vAlign w:val="bottom"/>
            <w:gridSpan w:val="13"/>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3.1</w:t>
            </w:r>
          </w:p>
        </w:tc>
        <w:tc>
          <w:tcPr>
            <w:tcW w:w="70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6"/>
                <w:szCs w:val="16"/>
                <w:color w:val="0000FF"/>
                <w:w w:val="97"/>
              </w:rPr>
            </w:pPr>
            <w:hyperlink r:id="rId101">
              <w:r>
                <w:rPr>
                  <w:rFonts w:ascii="Arial" w:cs="Arial" w:eastAsia="Arial" w:hAnsi="Arial"/>
                  <w:sz w:val="16"/>
                  <w:szCs w:val="16"/>
                  <w:color w:val="0000FF"/>
                  <w:w w:val="97"/>
                </w:rPr>
                <w:t>Third Amended and Restated Certificate of Incorporation of BioScrip, Inc. (incorporated by reference to Exhibit 3.1 to the Company’s Current</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w w:val="92"/>
              </w:rPr>
            </w:pPr>
            <w:hyperlink r:id="rId101">
              <w:r>
                <w:rPr>
                  <w:rFonts w:ascii="Arial" w:cs="Arial" w:eastAsia="Arial" w:hAnsi="Arial"/>
                  <w:sz w:val="16"/>
                  <w:szCs w:val="16"/>
                  <w:color w:val="0000FF"/>
                  <w:w w:val="92"/>
                </w:rPr>
                <w:t>Report on Form 8-K filed on August 7, 2019, SEC File Number 001-11993).</w:t>
              </w:r>
            </w:hyperlink>
          </w:p>
        </w:tc>
        <w:tc>
          <w:tcPr>
            <w:tcW w:w="4280" w:type="dxa"/>
            <w:vAlign w:val="bottom"/>
            <w:tcBorders>
              <w:top w:val="single" w:sz="8" w:color="0000FF"/>
            </w:tcBorders>
            <w:gridSpan w:val="11"/>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3.2</w:t>
            </w:r>
          </w:p>
        </w:tc>
        <w:tc>
          <w:tcPr>
            <w:tcW w:w="700" w:type="dxa"/>
            <w:vAlign w:val="bottom"/>
          </w:tcPr>
          <w:p>
            <w:pPr>
              <w:spacing w:after="0"/>
              <w:rPr>
                <w:sz w:val="19"/>
                <w:szCs w:val="19"/>
                <w:color w:val="auto"/>
              </w:rPr>
            </w:pPr>
          </w:p>
        </w:tc>
        <w:tc>
          <w:tcPr>
            <w:tcW w:w="9720" w:type="dxa"/>
            <w:vAlign w:val="bottom"/>
            <w:tcBorders>
              <w:bottom w:val="single" w:sz="8" w:color="0000FF"/>
            </w:tcBorders>
            <w:gridSpan w:val="24"/>
          </w:tcPr>
          <w:p>
            <w:pPr>
              <w:spacing w:after="0"/>
              <w:rPr>
                <w:rFonts w:ascii="Arial" w:cs="Arial" w:eastAsia="Arial" w:hAnsi="Arial"/>
                <w:sz w:val="16"/>
                <w:szCs w:val="16"/>
                <w:color w:val="0000FF"/>
                <w:w w:val="95"/>
              </w:rPr>
            </w:pPr>
            <w:hyperlink r:id="rId102">
              <w:r>
                <w:rPr>
                  <w:rFonts w:ascii="Arial" w:cs="Arial" w:eastAsia="Arial" w:hAnsi="Arial"/>
                  <w:sz w:val="16"/>
                  <w:szCs w:val="16"/>
                  <w:color w:val="0000FF"/>
                  <w:w w:val="95"/>
                </w:rPr>
                <w:t>Certificate of Amendment to Certificate of Incorporation, amending the Third Amended and Restated Certificate of Incorporation of BioScrip, Inc.</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5"/>
          </w:tcPr>
          <w:p>
            <w:pPr>
              <w:spacing w:after="0"/>
              <w:rPr>
                <w:rFonts w:ascii="Arial" w:cs="Arial" w:eastAsia="Arial" w:hAnsi="Arial"/>
                <w:sz w:val="16"/>
                <w:szCs w:val="16"/>
                <w:u w:val="single" w:color="auto"/>
                <w:color w:val="0000FF"/>
                <w:w w:val="96"/>
              </w:rPr>
            </w:pPr>
            <w:hyperlink r:id="rId102">
              <w:r>
                <w:rPr>
                  <w:rFonts w:ascii="Arial" w:cs="Arial" w:eastAsia="Arial" w:hAnsi="Arial"/>
                  <w:sz w:val="16"/>
                  <w:szCs w:val="16"/>
                  <w:u w:val="single" w:color="auto"/>
                  <w:color w:val="0000FF"/>
                  <w:w w:val="96"/>
                </w:rPr>
                <w:t>(incorporated by reference to Exhibit 3.3 to the Company’s Current Report on Form 8-K filed on August 7, 2019, SEC File Number 001-11993).</w:t>
              </w:r>
            </w:hyperlink>
          </w:p>
        </w:tc>
        <w:tc>
          <w:tcPr>
            <w:tcW w:w="0" w:type="dxa"/>
            <w:vAlign w:val="bottom"/>
          </w:tcPr>
          <w:p>
            <w:pPr>
              <w:spacing w:after="0"/>
              <w:rPr>
                <w:sz w:val="1"/>
                <w:szCs w:val="1"/>
                <w:color w:val="auto"/>
              </w:rPr>
            </w:pPr>
          </w:p>
        </w:tc>
      </w:tr>
      <w:tr>
        <w:trPr>
          <w:trHeight w:val="195"/>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3.3</w:t>
            </w:r>
          </w:p>
        </w:tc>
        <w:tc>
          <w:tcPr>
            <w:tcW w:w="700" w:type="dxa"/>
            <w:vAlign w:val="bottom"/>
          </w:tcPr>
          <w:p>
            <w:pPr>
              <w:spacing w:after="0"/>
              <w:rPr>
                <w:sz w:val="16"/>
                <w:szCs w:val="16"/>
                <w:color w:val="auto"/>
              </w:rPr>
            </w:pPr>
          </w:p>
        </w:tc>
        <w:tc>
          <w:tcPr>
            <w:tcW w:w="9260" w:type="dxa"/>
            <w:vAlign w:val="bottom"/>
            <w:gridSpan w:val="17"/>
          </w:tcPr>
          <w:p>
            <w:pPr>
              <w:spacing w:after="0"/>
              <w:rPr>
                <w:rFonts w:ascii="Arial" w:cs="Arial" w:eastAsia="Arial" w:hAnsi="Arial"/>
                <w:sz w:val="16"/>
                <w:szCs w:val="16"/>
                <w:color w:val="0000FF"/>
                <w:w w:val="93"/>
              </w:rPr>
            </w:pPr>
            <w:hyperlink r:id="rId103">
              <w:r>
                <w:rPr>
                  <w:rFonts w:ascii="Arial" w:cs="Arial" w:eastAsia="Arial" w:hAnsi="Arial"/>
                  <w:sz w:val="16"/>
                  <w:szCs w:val="16"/>
                  <w:color w:val="0000FF"/>
                  <w:w w:val="93"/>
                </w:rPr>
                <w:t>Amended and Restated Bylaws of Option Care Health, Inc., formerly known as BioScrip, Inc. (incorporated by reference to Exhibit 3.4 to the</w:t>
              </w:r>
            </w:hyperlink>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3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2"/>
              </w:rPr>
            </w:pPr>
            <w:hyperlink r:id="rId103">
              <w:r>
                <w:rPr>
                  <w:rFonts w:ascii="Arial" w:cs="Arial" w:eastAsia="Arial" w:hAnsi="Arial"/>
                  <w:sz w:val="16"/>
                  <w:szCs w:val="16"/>
                  <w:color w:val="0000FF"/>
                  <w:w w:val="92"/>
                </w:rPr>
                <w:t>Company’s Current Report on Form 8-K filed on August 7, 2019, SEC File Number 001-11993).</w:t>
              </w:r>
            </w:hyperlink>
          </w:p>
        </w:tc>
        <w:tc>
          <w:tcPr>
            <w:tcW w:w="2880" w:type="dxa"/>
            <w:vAlign w:val="bottom"/>
            <w:tcBorders>
              <w:top w:val="single" w:sz="8" w:color="0000FF"/>
            </w:tcBorders>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3.4</w:t>
            </w:r>
          </w:p>
        </w:tc>
        <w:tc>
          <w:tcPr>
            <w:tcW w:w="700" w:type="dxa"/>
            <w:vAlign w:val="bottom"/>
          </w:tcPr>
          <w:p>
            <w:pPr>
              <w:spacing w:after="0"/>
              <w:rPr>
                <w:sz w:val="20"/>
                <w:szCs w:val="20"/>
                <w:color w:val="auto"/>
              </w:rPr>
            </w:pPr>
          </w:p>
        </w:tc>
        <w:tc>
          <w:tcPr>
            <w:tcW w:w="9260" w:type="dxa"/>
            <w:vAlign w:val="bottom"/>
            <w:gridSpan w:val="17"/>
          </w:tcPr>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Certificate of Amendment of the Certificate of Incorporation, filed January 30, 2020.</w:t>
              </w:r>
            </w:hyperlink>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8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4.1</w:t>
            </w:r>
          </w:p>
        </w:tc>
        <w:tc>
          <w:tcPr>
            <w:tcW w:w="700" w:type="dxa"/>
            <w:vAlign w:val="bottom"/>
          </w:tcPr>
          <w:p>
            <w:pPr>
              <w:spacing w:after="0"/>
              <w:rPr>
                <w:sz w:val="15"/>
                <w:szCs w:val="15"/>
                <w:color w:val="auto"/>
              </w:rPr>
            </w:pPr>
          </w:p>
        </w:tc>
        <w:tc>
          <w:tcPr>
            <w:tcW w:w="9740" w:type="dxa"/>
            <w:vAlign w:val="bottom"/>
            <w:gridSpan w:val="25"/>
          </w:tcPr>
          <w:p>
            <w:pPr>
              <w:spacing w:after="0" w:line="181" w:lineRule="exact"/>
              <w:rPr>
                <w:rFonts w:ascii="Arial" w:cs="Arial" w:eastAsia="Arial" w:hAnsi="Arial"/>
                <w:sz w:val="16"/>
                <w:szCs w:val="16"/>
                <w:color w:val="0000FF"/>
                <w:w w:val="92"/>
              </w:rPr>
            </w:pPr>
            <w:hyperlink r:id="rId105">
              <w:r>
                <w:rPr>
                  <w:rFonts w:ascii="Arial" w:cs="Arial" w:eastAsia="Arial" w:hAnsi="Arial"/>
                  <w:sz w:val="16"/>
                  <w:szCs w:val="16"/>
                  <w:color w:val="0000FF"/>
                  <w:w w:val="92"/>
                </w:rPr>
                <w:t>Registration Rights Agreement, dated as of March 9, 2015, by and among the Company, Coliseum Capital Partners, L.P., Coliseum Capital Partners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6"/>
              </w:rPr>
            </w:pPr>
            <w:hyperlink r:id="rId105">
              <w:r>
                <w:rPr>
                  <w:rFonts w:ascii="Arial" w:cs="Arial" w:eastAsia="Arial" w:hAnsi="Arial"/>
                  <w:sz w:val="16"/>
                  <w:szCs w:val="16"/>
                  <w:color w:val="0000FF"/>
                  <w:w w:val="96"/>
                </w:rPr>
                <w:t>II, L.P., and Blackwell Partners, LLC, Series A. (Incorporated by reference to Exhibit 4.1 to the Company’s Current Report on Form 8-K filed on</w:t>
              </w:r>
            </w:hyperlink>
          </w:p>
        </w:tc>
        <w:tc>
          <w:tcPr>
            <w:tcW w:w="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120" w:type="dxa"/>
            <w:vAlign w:val="bottom"/>
            <w:tcBorders>
              <w:bottom w:val="single" w:sz="8" w:color="0000FF"/>
            </w:tcBorders>
            <w:gridSpan w:val="3"/>
          </w:tcPr>
          <w:p>
            <w:pPr>
              <w:spacing w:after="0" w:line="142" w:lineRule="exact"/>
              <w:rPr>
                <w:rFonts w:ascii="Arial" w:cs="Arial" w:eastAsia="Arial" w:hAnsi="Arial"/>
                <w:sz w:val="16"/>
                <w:szCs w:val="16"/>
                <w:color w:val="0000FF"/>
                <w:w w:val="92"/>
              </w:rPr>
            </w:pPr>
            <w:hyperlink r:id="rId105">
              <w:r>
                <w:rPr>
                  <w:rFonts w:ascii="Arial" w:cs="Arial" w:eastAsia="Arial" w:hAnsi="Arial"/>
                  <w:sz w:val="16"/>
                  <w:szCs w:val="16"/>
                  <w:color w:val="0000FF"/>
                  <w:w w:val="92"/>
                </w:rPr>
                <w:t>March 10, 2015, SEC File Number 000-28740).</w:t>
              </w:r>
            </w:hyperlink>
          </w:p>
        </w:tc>
        <w:tc>
          <w:tcPr>
            <w:tcW w:w="6140" w:type="dxa"/>
            <w:vAlign w:val="bottom"/>
            <w:gridSpan w:val="14"/>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4.2</w:t>
            </w:r>
          </w:p>
        </w:tc>
        <w:tc>
          <w:tcPr>
            <w:tcW w:w="700" w:type="dxa"/>
            <w:vAlign w:val="bottom"/>
          </w:tcPr>
          <w:p>
            <w:pPr>
              <w:spacing w:after="0"/>
              <w:rPr>
                <w:sz w:val="17"/>
                <w:szCs w:val="17"/>
                <w:color w:val="auto"/>
              </w:rPr>
            </w:pPr>
          </w:p>
        </w:tc>
        <w:tc>
          <w:tcPr>
            <w:tcW w:w="9740" w:type="dxa"/>
            <w:vAlign w:val="bottom"/>
            <w:gridSpan w:val="25"/>
          </w:tcPr>
          <w:p>
            <w:pPr>
              <w:spacing w:after="0"/>
              <w:rPr>
                <w:rFonts w:ascii="Arial" w:cs="Arial" w:eastAsia="Arial" w:hAnsi="Arial"/>
                <w:sz w:val="16"/>
                <w:szCs w:val="16"/>
                <w:color w:val="0000FF"/>
                <w:w w:val="97"/>
              </w:rPr>
            </w:pPr>
            <w:hyperlink r:id="rId106">
              <w:r>
                <w:rPr>
                  <w:rFonts w:ascii="Arial" w:cs="Arial" w:eastAsia="Arial" w:hAnsi="Arial"/>
                  <w:sz w:val="16"/>
                  <w:szCs w:val="16"/>
                  <w:color w:val="0000FF"/>
                  <w:w w:val="97"/>
                </w:rPr>
                <w:t>Amendment No. 1 to the Registration Rights Agreement dated June 10, 2016, by and among the Company, Coliseum Capital Partners, L.P.,</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2"/>
              </w:rPr>
            </w:pPr>
            <w:hyperlink r:id="rId106">
              <w:r>
                <w:rPr>
                  <w:rFonts w:ascii="Arial" w:cs="Arial" w:eastAsia="Arial" w:hAnsi="Arial"/>
                  <w:sz w:val="16"/>
                  <w:szCs w:val="16"/>
                  <w:color w:val="0000FF"/>
                  <w:w w:val="92"/>
                </w:rPr>
                <w:t>Coliseum Capital Partners II, L.P. and Blackwell Partners, LLC Series A. (Incorporated by reference to Exhibit 4.1 to the Company’s Current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20" w:type="dxa"/>
            <w:vAlign w:val="bottom"/>
            <w:tcBorders>
              <w:bottom w:val="single" w:sz="8" w:color="0000FF"/>
            </w:tcBorders>
            <w:gridSpan w:val="5"/>
          </w:tcPr>
          <w:p>
            <w:pPr>
              <w:spacing w:after="0" w:line="142" w:lineRule="exact"/>
              <w:rPr>
                <w:rFonts w:ascii="Arial" w:cs="Arial" w:eastAsia="Arial" w:hAnsi="Arial"/>
                <w:sz w:val="16"/>
                <w:szCs w:val="16"/>
                <w:color w:val="0000FF"/>
                <w:w w:val="92"/>
              </w:rPr>
            </w:pPr>
            <w:hyperlink r:id="rId106">
              <w:r>
                <w:rPr>
                  <w:rFonts w:ascii="Arial" w:cs="Arial" w:eastAsia="Arial" w:hAnsi="Arial"/>
                  <w:sz w:val="16"/>
                  <w:szCs w:val="16"/>
                  <w:color w:val="0000FF"/>
                  <w:w w:val="92"/>
                </w:rPr>
                <w:t>on Form 8-K filed on June 13, 2016, SEC File Number 000-28740).</w:t>
              </w:r>
            </w:hyperlink>
          </w:p>
        </w:tc>
        <w:tc>
          <w:tcPr>
            <w:tcW w:w="4840" w:type="dxa"/>
            <w:vAlign w:val="bottom"/>
            <w:gridSpan w:val="12"/>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40"/>
              <w:spacing w:after="0"/>
              <w:rPr>
                <w:sz w:val="20"/>
                <w:szCs w:val="20"/>
                <w:color w:val="auto"/>
              </w:rPr>
            </w:pPr>
            <w:r>
              <w:rPr>
                <w:rFonts w:ascii="Arial" w:cs="Arial" w:eastAsia="Arial" w:hAnsi="Arial"/>
                <w:sz w:val="16"/>
                <w:szCs w:val="16"/>
                <w:color w:val="auto"/>
              </w:rPr>
              <w:t>4.3</w:t>
            </w:r>
          </w:p>
        </w:tc>
        <w:tc>
          <w:tcPr>
            <w:tcW w:w="700" w:type="dxa"/>
            <w:vAlign w:val="bottom"/>
          </w:tcPr>
          <w:p>
            <w:pPr>
              <w:spacing w:after="0"/>
              <w:rPr>
                <w:sz w:val="17"/>
                <w:szCs w:val="17"/>
                <w:color w:val="auto"/>
              </w:rPr>
            </w:pPr>
          </w:p>
        </w:tc>
        <w:tc>
          <w:tcPr>
            <w:tcW w:w="9740" w:type="dxa"/>
            <w:vAlign w:val="bottom"/>
            <w:gridSpan w:val="25"/>
          </w:tcPr>
          <w:p>
            <w:pPr>
              <w:spacing w:after="0"/>
              <w:rPr>
                <w:rFonts w:ascii="Arial" w:cs="Arial" w:eastAsia="Arial" w:hAnsi="Arial"/>
                <w:sz w:val="16"/>
                <w:szCs w:val="16"/>
                <w:color w:val="0000FF"/>
                <w:w w:val="92"/>
              </w:rPr>
            </w:pPr>
            <w:hyperlink r:id="rId107">
              <w:r>
                <w:rPr>
                  <w:rFonts w:ascii="Arial" w:cs="Arial" w:eastAsia="Arial" w:hAnsi="Arial"/>
                  <w:sz w:val="16"/>
                  <w:szCs w:val="16"/>
                  <w:color w:val="0000FF"/>
                  <w:w w:val="92"/>
                </w:rPr>
                <w:t>Amendment No. 2 to the Registration Rights Agreement dated June 14, 2016, by and among the Company and the PIPE Investors. (Incorporated by</w:t>
              </w:r>
            </w:hyperlink>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60" w:type="dxa"/>
            <w:vAlign w:val="bottom"/>
            <w:tcBorders>
              <w:top w:val="single" w:sz="8" w:color="0000FF"/>
            </w:tcBorders>
            <w:gridSpan w:val="17"/>
          </w:tcPr>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reference to Exhibit 4.1 to the Company’s Current Report on Form 8-K filed on June 14, 2016, SEC File Number 000-28740).</w:t>
              </w:r>
            </w:hyperlink>
          </w:p>
        </w:tc>
        <w:tc>
          <w:tcPr>
            <w:tcW w:w="2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0" w:type="dxa"/>
            <w:vAlign w:val="bottom"/>
            <w:gridSpan w:val="2"/>
          </w:tcPr>
          <w:p>
            <w:pPr>
              <w:ind w:left="40"/>
              <w:spacing w:after="0" w:line="172" w:lineRule="exact"/>
              <w:rPr>
                <w:sz w:val="20"/>
                <w:szCs w:val="20"/>
                <w:color w:val="auto"/>
              </w:rPr>
            </w:pPr>
            <w:r>
              <w:rPr>
                <w:rFonts w:ascii="Arial" w:cs="Arial" w:eastAsia="Arial" w:hAnsi="Arial"/>
                <w:sz w:val="16"/>
                <w:szCs w:val="16"/>
                <w:color w:val="auto"/>
              </w:rPr>
              <w:t>4.4</w:t>
            </w:r>
          </w:p>
        </w:tc>
        <w:tc>
          <w:tcPr>
            <w:tcW w:w="700" w:type="dxa"/>
            <w:vAlign w:val="bottom"/>
          </w:tcPr>
          <w:p>
            <w:pPr>
              <w:spacing w:after="0"/>
              <w:rPr>
                <w:sz w:val="14"/>
                <w:szCs w:val="14"/>
                <w:color w:val="auto"/>
              </w:rPr>
            </w:pPr>
          </w:p>
        </w:tc>
        <w:tc>
          <w:tcPr>
            <w:tcW w:w="9740" w:type="dxa"/>
            <w:vAlign w:val="bottom"/>
            <w:gridSpan w:val="25"/>
          </w:tcPr>
          <w:p>
            <w:pPr>
              <w:spacing w:after="0" w:line="172" w:lineRule="exact"/>
              <w:rPr>
                <w:rFonts w:ascii="Arial" w:cs="Arial" w:eastAsia="Arial" w:hAnsi="Arial"/>
                <w:sz w:val="16"/>
                <w:szCs w:val="16"/>
                <w:color w:val="0000FF"/>
                <w:w w:val="94"/>
              </w:rPr>
            </w:pPr>
            <w:hyperlink r:id="rId108">
              <w:r>
                <w:rPr>
                  <w:rFonts w:ascii="Arial" w:cs="Arial" w:eastAsia="Arial" w:hAnsi="Arial"/>
                  <w:sz w:val="16"/>
                  <w:szCs w:val="16"/>
                  <w:color w:val="0000FF"/>
                  <w:w w:val="94"/>
                </w:rPr>
                <w:t>Form of Subscription Rights Certificate. (Incorporated by reference to Exhibit 4.1 to the Company’s Registration Statement on Form S-3/A filed on</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May 29, 2015, SEC File Number 000-28740).</w:t>
              </w:r>
            </w:hyperlink>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80" w:type="dxa"/>
            <w:vAlign w:val="bottom"/>
            <w:tcBorders>
              <w:top w:val="single" w:sz="8" w:color="0000FF"/>
            </w:tcBorders>
            <w:gridSpan w:val="2"/>
          </w:tcPr>
          <w:p>
            <w:pPr>
              <w:spacing w:after="0"/>
              <w:rPr>
                <w:sz w:val="24"/>
                <w:szCs w:val="24"/>
                <w:color w:val="auto"/>
              </w:rPr>
            </w:pPr>
          </w:p>
        </w:tc>
        <w:tc>
          <w:tcPr>
            <w:tcW w:w="136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84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color w:val="auto"/>
              </w:rPr>
              <w:t>4.5</w:t>
            </w:r>
          </w:p>
        </w:tc>
        <w:tc>
          <w:tcPr>
            <w:tcW w:w="9800" w:type="dxa"/>
            <w:vAlign w:val="bottom"/>
            <w:gridSpan w:val="14"/>
          </w:tcPr>
          <w:p>
            <w:pPr>
              <w:spacing w:after="0"/>
              <w:rPr>
                <w:rFonts w:ascii="Arial" w:cs="Arial" w:eastAsia="Arial" w:hAnsi="Arial"/>
                <w:sz w:val="16"/>
                <w:szCs w:val="16"/>
                <w:color w:val="0000FF"/>
                <w:w w:val="98"/>
              </w:rPr>
            </w:pPr>
            <w:hyperlink r:id="rId111">
              <w:r>
                <w:rPr>
                  <w:rFonts w:ascii="Arial" w:cs="Arial" w:eastAsia="Arial" w:hAnsi="Arial"/>
                  <w:sz w:val="16"/>
                  <w:szCs w:val="16"/>
                  <w:color w:val="0000FF"/>
                  <w:w w:val="98"/>
                </w:rPr>
                <w:t>Common Stock Warrant Agreement, dated July 28, 2015, by and between the Company and the American Stock Transfer &amp; Trust Company,</w:t>
              </w:r>
            </w:hyperlink>
          </w:p>
        </w:tc>
      </w:tr>
      <w:tr>
        <w:trPr>
          <w:trHeight w:val="186"/>
        </w:trPr>
        <w:tc>
          <w:tcPr>
            <w:tcW w:w="1460" w:type="dxa"/>
            <w:vAlign w:val="bottom"/>
          </w:tcPr>
          <w:p>
            <w:pPr>
              <w:spacing w:after="0"/>
              <w:rPr>
                <w:sz w:val="16"/>
                <w:szCs w:val="16"/>
                <w:color w:val="auto"/>
              </w:rPr>
            </w:pPr>
          </w:p>
        </w:tc>
        <w:tc>
          <w:tcPr>
            <w:tcW w:w="9780" w:type="dxa"/>
            <w:vAlign w:val="bottom"/>
            <w:tcBorders>
              <w:top w:val="single" w:sz="8" w:color="0000FF"/>
            </w:tcBorders>
            <w:gridSpan w:val="13"/>
          </w:tcPr>
          <w:p>
            <w:pPr>
              <w:spacing w:after="0"/>
              <w:rPr>
                <w:rFonts w:ascii="Arial" w:cs="Arial" w:eastAsia="Arial" w:hAnsi="Arial"/>
                <w:sz w:val="16"/>
                <w:szCs w:val="16"/>
                <w:u w:val="single" w:color="auto"/>
                <w:color w:val="0000FF"/>
                <w:w w:val="94"/>
              </w:rPr>
            </w:pPr>
            <w:hyperlink r:id="rId111">
              <w:r>
                <w:rPr>
                  <w:rFonts w:ascii="Arial" w:cs="Arial" w:eastAsia="Arial" w:hAnsi="Arial"/>
                  <w:sz w:val="16"/>
                  <w:szCs w:val="16"/>
                  <w:u w:val="single" w:color="auto"/>
                  <w:color w:val="0000FF"/>
                  <w:w w:val="94"/>
                </w:rPr>
                <w:t>LLC. (Incorporated by reference to Exhibit 4.1 to the Company’s Current Report on Form 8-K filed on July 28, 2015, SEC File Number 000-28740).</w:t>
              </w:r>
            </w:hyperlink>
          </w:p>
        </w:tc>
        <w:tc>
          <w:tcPr>
            <w:tcW w:w="20" w:type="dxa"/>
            <w:vAlign w:val="bottom"/>
          </w:tcPr>
          <w:p>
            <w:pPr>
              <w:spacing w:after="0"/>
              <w:rPr>
                <w:sz w:val="16"/>
                <w:szCs w:val="16"/>
                <w:color w:val="auto"/>
              </w:rPr>
            </w:pPr>
          </w:p>
        </w:tc>
      </w:tr>
      <w:tr>
        <w:trPr>
          <w:trHeight w:val="172"/>
        </w:trPr>
        <w:tc>
          <w:tcPr>
            <w:tcW w:w="1460" w:type="dxa"/>
            <w:vAlign w:val="bottom"/>
          </w:tcPr>
          <w:p>
            <w:pPr>
              <w:spacing w:after="0" w:line="172" w:lineRule="exact"/>
              <w:rPr>
                <w:sz w:val="20"/>
                <w:szCs w:val="20"/>
                <w:color w:val="auto"/>
              </w:rPr>
            </w:pPr>
            <w:r>
              <w:rPr>
                <w:rFonts w:ascii="Arial" w:cs="Arial" w:eastAsia="Arial" w:hAnsi="Arial"/>
                <w:sz w:val="16"/>
                <w:szCs w:val="16"/>
                <w:color w:val="auto"/>
              </w:rPr>
              <w:t>4.6</w:t>
            </w:r>
          </w:p>
        </w:tc>
        <w:tc>
          <w:tcPr>
            <w:tcW w:w="9800" w:type="dxa"/>
            <w:vAlign w:val="bottom"/>
            <w:gridSpan w:val="14"/>
          </w:tcPr>
          <w:p>
            <w:pPr>
              <w:spacing w:after="0" w:line="172" w:lineRule="exact"/>
              <w:rPr>
                <w:rFonts w:ascii="Arial" w:cs="Arial" w:eastAsia="Arial" w:hAnsi="Arial"/>
                <w:sz w:val="16"/>
                <w:szCs w:val="16"/>
                <w:color w:val="0000FF"/>
                <w:w w:val="94"/>
              </w:rPr>
            </w:pPr>
            <w:hyperlink r:id="rId112">
              <w:r>
                <w:rPr>
                  <w:rFonts w:ascii="Arial" w:cs="Arial" w:eastAsia="Arial" w:hAnsi="Arial"/>
                  <w:sz w:val="16"/>
                  <w:szCs w:val="16"/>
                  <w:color w:val="0000FF"/>
                  <w:w w:val="94"/>
                </w:rPr>
                <w:t>Registration Rights Agreement, dated March 1, 2017, by and among the Company and the investors named therein. (Incorporated by reference to</w:t>
              </w:r>
            </w:hyperlink>
          </w:p>
        </w:tc>
      </w:tr>
      <w:tr>
        <w:trPr>
          <w:trHeight w:val="142"/>
        </w:trPr>
        <w:tc>
          <w:tcPr>
            <w:tcW w:w="146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3"/>
              </w:rPr>
            </w:pPr>
            <w:hyperlink r:id="rId112">
              <w:r>
                <w:rPr>
                  <w:rFonts w:ascii="Arial" w:cs="Arial" w:eastAsia="Arial" w:hAnsi="Arial"/>
                  <w:sz w:val="16"/>
                  <w:szCs w:val="16"/>
                  <w:color w:val="0000FF"/>
                  <w:w w:val="93"/>
                </w:rPr>
                <w:t>Exhibit 4.1 to the Company’s Current Report on Form 8-K filed on March 2, 2017, SEC File Number 001-11993).</w:t>
              </w:r>
            </w:hyperlink>
          </w:p>
        </w:tc>
        <w:tc>
          <w:tcPr>
            <w:tcW w:w="232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4.7</w:t>
            </w:r>
          </w:p>
        </w:tc>
        <w:tc>
          <w:tcPr>
            <w:tcW w:w="9800" w:type="dxa"/>
            <w:vAlign w:val="bottom"/>
            <w:gridSpan w:val="14"/>
          </w:tcPr>
          <w:p>
            <w:pPr>
              <w:spacing w:after="0"/>
              <w:rPr>
                <w:rFonts w:ascii="Arial" w:cs="Arial" w:eastAsia="Arial" w:hAnsi="Arial"/>
                <w:sz w:val="16"/>
                <w:szCs w:val="16"/>
                <w:color w:val="0000FF"/>
                <w:w w:val="95"/>
              </w:rPr>
            </w:pPr>
            <w:hyperlink r:id="rId113">
              <w:r>
                <w:rPr>
                  <w:rFonts w:ascii="Arial" w:cs="Arial" w:eastAsia="Arial" w:hAnsi="Arial"/>
                  <w:sz w:val="16"/>
                  <w:szCs w:val="16"/>
                  <w:color w:val="0000FF"/>
                  <w:w w:val="95"/>
                </w:rPr>
                <w:t>Registration Rights Agreement, dated June 29, 2017, by and among the Company and the parties signatory thereto (Incorporated by reference to</w:t>
              </w:r>
            </w:hyperlink>
          </w:p>
        </w:tc>
      </w:tr>
      <w:tr>
        <w:trPr>
          <w:trHeight w:val="142"/>
        </w:trPr>
        <w:tc>
          <w:tcPr>
            <w:tcW w:w="1460" w:type="dxa"/>
            <w:vAlign w:val="bottom"/>
          </w:tcPr>
          <w:p>
            <w:pPr>
              <w:spacing w:after="0"/>
              <w:rPr>
                <w:sz w:val="12"/>
                <w:szCs w:val="12"/>
                <w:color w:val="auto"/>
              </w:rPr>
            </w:pPr>
          </w:p>
        </w:tc>
        <w:tc>
          <w:tcPr>
            <w:tcW w:w="97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Exhibit 4.2 to the Company’s Current Report on Form 8-K filed on June 29, 2017, SEC File Number 001-11993).</w:t>
              </w:r>
            </w:hyperlink>
          </w:p>
        </w:tc>
        <w:tc>
          <w:tcPr>
            <w:tcW w:w="40" w:type="dxa"/>
            <w:vAlign w:val="bottom"/>
            <w:gridSpan w:val="2"/>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4.8</w:t>
            </w:r>
          </w:p>
        </w:tc>
        <w:tc>
          <w:tcPr>
            <w:tcW w:w="9800" w:type="dxa"/>
            <w:vAlign w:val="bottom"/>
            <w:gridSpan w:val="14"/>
          </w:tcPr>
          <w:p>
            <w:pPr>
              <w:spacing w:after="0"/>
              <w:rPr>
                <w:rFonts w:ascii="Arial" w:cs="Arial" w:eastAsia="Arial" w:hAnsi="Arial"/>
                <w:sz w:val="16"/>
                <w:szCs w:val="16"/>
                <w:color w:val="0000FF"/>
                <w:w w:val="99"/>
              </w:rPr>
            </w:pPr>
            <w:hyperlink r:id="rId114">
              <w:r>
                <w:rPr>
                  <w:rFonts w:ascii="Arial" w:cs="Arial" w:eastAsia="Arial" w:hAnsi="Arial"/>
                  <w:sz w:val="16"/>
                  <w:szCs w:val="16"/>
                  <w:color w:val="0000FF"/>
                  <w:w w:val="99"/>
                </w:rPr>
                <w:t>Amendment No. 1 to Registration Rights Agreement by and between BioScrip, Inc. and the stockholders of the Company signatory thereto</w:t>
              </w:r>
            </w:hyperlink>
          </w:p>
        </w:tc>
      </w:tr>
      <w:tr>
        <w:trPr>
          <w:trHeight w:val="186"/>
        </w:trPr>
        <w:tc>
          <w:tcPr>
            <w:tcW w:w="1460" w:type="dxa"/>
            <w:vAlign w:val="bottom"/>
          </w:tcPr>
          <w:p>
            <w:pPr>
              <w:spacing w:after="0"/>
              <w:rPr>
                <w:sz w:val="16"/>
                <w:szCs w:val="16"/>
                <w:color w:val="auto"/>
              </w:rPr>
            </w:pPr>
          </w:p>
        </w:tc>
        <w:tc>
          <w:tcPr>
            <w:tcW w:w="9020" w:type="dxa"/>
            <w:vAlign w:val="bottom"/>
            <w:tcBorders>
              <w:top w:val="single" w:sz="8" w:color="0000FF"/>
            </w:tcBorders>
            <w:gridSpan w:val="5"/>
          </w:tcPr>
          <w:p>
            <w:pPr>
              <w:spacing w:after="0"/>
              <w:rPr>
                <w:rFonts w:ascii="Arial" w:cs="Arial" w:eastAsia="Arial" w:hAnsi="Arial"/>
                <w:sz w:val="16"/>
                <w:szCs w:val="16"/>
                <w:u w:val="single" w:color="auto"/>
                <w:color w:val="0000FF"/>
                <w:w w:val="93"/>
              </w:rPr>
            </w:pPr>
            <w:hyperlink r:id="rId114">
              <w:r>
                <w:rPr>
                  <w:rFonts w:ascii="Arial" w:cs="Arial" w:eastAsia="Arial" w:hAnsi="Arial"/>
                  <w:sz w:val="16"/>
                  <w:szCs w:val="16"/>
                  <w:u w:val="single" w:color="auto"/>
                  <w:color w:val="0000FF"/>
                  <w:w w:val="93"/>
                </w:rPr>
                <w:t>(incorporated by reference to Exhibit 10.4 to the Company’s Current Report on Form 8-K filed on March 15, 2019, SEC File Number 001-</w:t>
              </w:r>
            </w:hyperlink>
          </w:p>
        </w:tc>
        <w:tc>
          <w:tcPr>
            <w:tcW w:w="580" w:type="dxa"/>
            <w:vAlign w:val="bottom"/>
            <w:gridSpan w:val="2"/>
          </w:tcPr>
          <w:p>
            <w:pPr>
              <w:jc w:val="right"/>
              <w:ind w:right="100"/>
              <w:spacing w:after="0"/>
              <w:rPr>
                <w:rFonts w:ascii="Arial" w:cs="Arial" w:eastAsia="Arial" w:hAnsi="Arial"/>
                <w:sz w:val="16"/>
                <w:szCs w:val="16"/>
                <w:u w:val="single" w:color="auto"/>
                <w:color w:val="0000FF"/>
                <w:w w:val="84"/>
              </w:rPr>
            </w:pPr>
            <w:hyperlink r:id="rId114">
              <w:r>
                <w:rPr>
                  <w:rFonts w:ascii="Arial" w:cs="Arial" w:eastAsia="Arial" w:hAnsi="Arial"/>
                  <w:sz w:val="16"/>
                  <w:szCs w:val="16"/>
                  <w:u w:val="single" w:color="auto"/>
                  <w:color w:val="0000FF"/>
                  <w:w w:val="84"/>
                </w:rPr>
                <w:t>11993).</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r>
      <w:tr>
        <w:trPr>
          <w:trHeight w:val="172"/>
        </w:trPr>
        <w:tc>
          <w:tcPr>
            <w:tcW w:w="1460" w:type="dxa"/>
            <w:vAlign w:val="bottom"/>
          </w:tcPr>
          <w:p>
            <w:pPr>
              <w:spacing w:after="0" w:line="172" w:lineRule="exact"/>
              <w:rPr>
                <w:sz w:val="20"/>
                <w:szCs w:val="20"/>
                <w:color w:val="auto"/>
              </w:rPr>
            </w:pPr>
            <w:r>
              <w:rPr>
                <w:rFonts w:ascii="Arial" w:cs="Arial" w:eastAsia="Arial" w:hAnsi="Arial"/>
                <w:sz w:val="16"/>
                <w:szCs w:val="16"/>
                <w:color w:val="auto"/>
              </w:rPr>
              <w:t>4.9</w:t>
            </w:r>
          </w:p>
        </w:tc>
        <w:tc>
          <w:tcPr>
            <w:tcW w:w="9800" w:type="dxa"/>
            <w:vAlign w:val="bottom"/>
            <w:gridSpan w:val="14"/>
          </w:tcPr>
          <w:p>
            <w:pPr>
              <w:spacing w:after="0" w:line="172" w:lineRule="exact"/>
              <w:rPr>
                <w:rFonts w:ascii="Arial" w:cs="Arial" w:eastAsia="Arial" w:hAnsi="Arial"/>
                <w:sz w:val="16"/>
                <w:szCs w:val="16"/>
                <w:color w:val="0000FF"/>
                <w:w w:val="92"/>
              </w:rPr>
            </w:pPr>
            <w:hyperlink r:id="rId115">
              <w:r>
                <w:rPr>
                  <w:rFonts w:ascii="Arial" w:cs="Arial" w:eastAsia="Arial" w:hAnsi="Arial"/>
                  <w:sz w:val="16"/>
                  <w:szCs w:val="16"/>
                  <w:color w:val="0000FF"/>
                  <w:w w:val="92"/>
                </w:rPr>
                <w:t>Warrant Agreement, dated June 29, 2017, by and among the Company and the subscribers signatory thereto (Incorporated by reference to Exhibit 4.1</w:t>
              </w:r>
            </w:hyperlink>
          </w:p>
        </w:tc>
      </w:tr>
      <w:tr>
        <w:trPr>
          <w:trHeight w:val="142"/>
        </w:trPr>
        <w:tc>
          <w:tcPr>
            <w:tcW w:w="1460" w:type="dxa"/>
            <w:vAlign w:val="bottom"/>
          </w:tcPr>
          <w:p>
            <w:pPr>
              <w:spacing w:after="0"/>
              <w:rPr>
                <w:sz w:val="12"/>
                <w:szCs w:val="12"/>
                <w:color w:val="auto"/>
              </w:rPr>
            </w:pPr>
          </w:p>
        </w:tc>
        <w:tc>
          <w:tcPr>
            <w:tcW w:w="97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to the Company’s Current Report on Form 8-K filed on June 29, 2017, SEC File Number 001-11993).</w:t>
              </w:r>
            </w:hyperlink>
          </w:p>
        </w:tc>
        <w:tc>
          <w:tcPr>
            <w:tcW w:w="80" w:type="dxa"/>
            <w:vAlign w:val="bottom"/>
            <w:gridSpan w:val="4"/>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4.10</w:t>
            </w:r>
          </w:p>
        </w:tc>
        <w:tc>
          <w:tcPr>
            <w:tcW w:w="9800" w:type="dxa"/>
            <w:vAlign w:val="bottom"/>
            <w:gridSpan w:val="14"/>
          </w:tcPr>
          <w:p>
            <w:pPr>
              <w:spacing w:after="0"/>
              <w:rPr>
                <w:rFonts w:ascii="Arial" w:cs="Arial" w:eastAsia="Arial" w:hAnsi="Arial"/>
                <w:sz w:val="16"/>
                <w:szCs w:val="16"/>
                <w:color w:val="0000FF"/>
                <w:w w:val="96"/>
              </w:rPr>
            </w:pPr>
            <w:hyperlink r:id="rId116">
              <w:r>
                <w:rPr>
                  <w:rFonts w:ascii="Arial" w:cs="Arial" w:eastAsia="Arial" w:hAnsi="Arial"/>
                  <w:sz w:val="16"/>
                  <w:szCs w:val="16"/>
                  <w:color w:val="0000FF"/>
                  <w:w w:val="96"/>
                </w:rPr>
                <w:t>Second Lien Notes Indenture, dated as of August 6, 2019, among HC Group Holdings II, LLC, as the Initial Issuer, BioScrip, Inc., as the Parent</w:t>
              </w:r>
            </w:hyperlink>
          </w:p>
        </w:tc>
      </w:tr>
      <w:tr>
        <w:trPr>
          <w:trHeight w:val="142"/>
        </w:trPr>
        <w:tc>
          <w:tcPr>
            <w:tcW w:w="1460" w:type="dxa"/>
            <w:vAlign w:val="bottom"/>
          </w:tcPr>
          <w:p>
            <w:pPr>
              <w:spacing w:after="0"/>
              <w:rPr>
                <w:sz w:val="12"/>
                <w:szCs w:val="12"/>
                <w:color w:val="auto"/>
              </w:rPr>
            </w:pPr>
          </w:p>
        </w:tc>
        <w:tc>
          <w:tcPr>
            <w:tcW w:w="9700" w:type="dxa"/>
            <w:vAlign w:val="bottom"/>
            <w:tcBorders>
              <w:top w:val="single" w:sz="8" w:color="0000FF"/>
            </w:tcBorders>
            <w:gridSpan w:val="9"/>
          </w:tcPr>
          <w:p>
            <w:pPr>
              <w:spacing w:after="0" w:line="142" w:lineRule="exact"/>
              <w:rPr>
                <w:rFonts w:ascii="Arial" w:cs="Arial" w:eastAsia="Arial" w:hAnsi="Arial"/>
                <w:sz w:val="16"/>
                <w:szCs w:val="16"/>
                <w:color w:val="0000FF"/>
                <w:w w:val="95"/>
              </w:rPr>
            </w:pPr>
            <w:hyperlink r:id="rId116">
              <w:r>
                <w:rPr>
                  <w:rFonts w:ascii="Arial" w:cs="Arial" w:eastAsia="Arial" w:hAnsi="Arial"/>
                  <w:sz w:val="16"/>
                  <w:szCs w:val="16"/>
                  <w:color w:val="0000FF"/>
                  <w:w w:val="95"/>
                </w:rPr>
                <w:t>Issuer, subsidiary issuers and guarantors party thereto from time to time, and Ankura Trust Company, LLC, as the Trustee and Collateral Agent</w:t>
              </w:r>
            </w:hyperlink>
          </w:p>
        </w:tc>
        <w:tc>
          <w:tcPr>
            <w:tcW w:w="100" w:type="dxa"/>
            <w:vAlign w:val="bottom"/>
            <w:gridSpan w:val="5"/>
          </w:tcPr>
          <w:p>
            <w:pPr>
              <w:spacing w:after="0"/>
              <w:rPr>
                <w:sz w:val="12"/>
                <w:szCs w:val="12"/>
                <w:color w:val="auto"/>
              </w:rPr>
            </w:pPr>
          </w:p>
        </w:tc>
      </w:tr>
      <w:tr>
        <w:trPr>
          <w:trHeight w:val="186"/>
        </w:trPr>
        <w:tc>
          <w:tcPr>
            <w:tcW w:w="1460" w:type="dxa"/>
            <w:vAlign w:val="bottom"/>
          </w:tcPr>
          <w:p>
            <w:pPr>
              <w:spacing w:after="0"/>
              <w:rPr>
                <w:sz w:val="16"/>
                <w:szCs w:val="16"/>
                <w:color w:val="auto"/>
              </w:rPr>
            </w:pPr>
          </w:p>
        </w:tc>
        <w:tc>
          <w:tcPr>
            <w:tcW w:w="9680" w:type="dxa"/>
            <w:vAlign w:val="bottom"/>
            <w:tcBorders>
              <w:top w:val="single" w:sz="8" w:color="0000FF"/>
            </w:tcBorders>
            <w:gridSpan w:val="8"/>
          </w:tcPr>
          <w:p>
            <w:pPr>
              <w:spacing w:after="0"/>
              <w:rPr>
                <w:rFonts w:ascii="Arial" w:cs="Arial" w:eastAsia="Arial" w:hAnsi="Arial"/>
                <w:sz w:val="16"/>
                <w:szCs w:val="16"/>
                <w:u w:val="single" w:color="auto"/>
                <w:color w:val="0000FF"/>
                <w:w w:val="95"/>
              </w:rPr>
            </w:pPr>
            <w:hyperlink r:id="rId116">
              <w:r>
                <w:rPr>
                  <w:rFonts w:ascii="Arial" w:cs="Arial" w:eastAsia="Arial" w:hAnsi="Arial"/>
                  <w:sz w:val="16"/>
                  <w:szCs w:val="16"/>
                  <w:u w:val="single" w:color="auto"/>
                  <w:color w:val="0000FF"/>
                  <w:w w:val="95"/>
                </w:rPr>
                <w:t>(incorporated by reference to Exhibit 4.1 to the Company’s Current Report on Form 8-K filed on August 7, 2019, SEC File Number 001-11993).</w:t>
              </w:r>
            </w:hyperlink>
          </w:p>
        </w:tc>
        <w:tc>
          <w:tcPr>
            <w:tcW w:w="120" w:type="dxa"/>
            <w:vAlign w:val="bottom"/>
            <w:gridSpan w:val="6"/>
          </w:tcPr>
          <w:p>
            <w:pPr>
              <w:spacing w:after="0"/>
              <w:rPr>
                <w:sz w:val="16"/>
                <w:szCs w:val="16"/>
                <w:color w:val="auto"/>
              </w:rPr>
            </w:pPr>
          </w:p>
        </w:tc>
      </w:tr>
      <w:tr>
        <w:trPr>
          <w:trHeight w:val="172"/>
        </w:trPr>
        <w:tc>
          <w:tcPr>
            <w:tcW w:w="1460" w:type="dxa"/>
            <w:vAlign w:val="bottom"/>
          </w:tcPr>
          <w:p>
            <w:pPr>
              <w:spacing w:after="0" w:line="172" w:lineRule="exact"/>
              <w:rPr>
                <w:sz w:val="20"/>
                <w:szCs w:val="20"/>
                <w:color w:val="auto"/>
              </w:rPr>
            </w:pPr>
            <w:r>
              <w:rPr>
                <w:rFonts w:ascii="Arial" w:cs="Arial" w:eastAsia="Arial" w:hAnsi="Arial"/>
                <w:sz w:val="16"/>
                <w:szCs w:val="16"/>
                <w:color w:val="auto"/>
              </w:rPr>
              <w:t>4.11</w:t>
            </w:r>
          </w:p>
        </w:tc>
        <w:tc>
          <w:tcPr>
            <w:tcW w:w="9800" w:type="dxa"/>
            <w:vAlign w:val="bottom"/>
            <w:gridSpan w:val="14"/>
          </w:tcPr>
          <w:p>
            <w:pPr>
              <w:spacing w:after="0" w:line="172" w:lineRule="exact"/>
              <w:rPr>
                <w:rFonts w:ascii="Arial" w:cs="Arial" w:eastAsia="Arial" w:hAnsi="Arial"/>
                <w:sz w:val="16"/>
                <w:szCs w:val="16"/>
                <w:color w:val="0000FF"/>
                <w:w w:val="92"/>
              </w:rPr>
            </w:pPr>
            <w:hyperlink r:id="rId117">
              <w:r>
                <w:rPr>
                  <w:rFonts w:ascii="Arial" w:cs="Arial" w:eastAsia="Arial" w:hAnsi="Arial"/>
                  <w:sz w:val="16"/>
                  <w:szCs w:val="16"/>
                  <w:color w:val="0000FF"/>
                  <w:w w:val="92"/>
                </w:rPr>
                <w:t>Supplemental Indenture, dated November 18, 2019, by and between Option Care Health, Inc., as parent issuer, and Ankura Trust Company, LLC, as</w:t>
              </w:r>
            </w:hyperlink>
          </w:p>
        </w:tc>
      </w:tr>
      <w:tr>
        <w:trPr>
          <w:trHeight w:val="142"/>
        </w:trPr>
        <w:tc>
          <w:tcPr>
            <w:tcW w:w="1460" w:type="dxa"/>
            <w:vAlign w:val="bottom"/>
          </w:tcPr>
          <w:p>
            <w:pPr>
              <w:spacing w:after="0"/>
              <w:rPr>
                <w:sz w:val="12"/>
                <w:szCs w:val="12"/>
                <w:color w:val="auto"/>
              </w:rPr>
            </w:pPr>
          </w:p>
        </w:tc>
        <w:tc>
          <w:tcPr>
            <w:tcW w:w="9600" w:type="dxa"/>
            <w:vAlign w:val="bottom"/>
            <w:tcBorders>
              <w:top w:val="single" w:sz="8" w:color="0000FF"/>
            </w:tcBorders>
            <w:gridSpan w:val="7"/>
          </w:tcPr>
          <w:p>
            <w:pPr>
              <w:spacing w:after="0" w:line="142" w:lineRule="exact"/>
              <w:rPr>
                <w:rFonts w:ascii="Arial" w:cs="Arial" w:eastAsia="Arial" w:hAnsi="Arial"/>
                <w:sz w:val="16"/>
                <w:szCs w:val="16"/>
                <w:color w:val="0000FF"/>
                <w:w w:val="93"/>
              </w:rPr>
            </w:pPr>
            <w:hyperlink r:id="rId117">
              <w:r>
                <w:rPr>
                  <w:rFonts w:ascii="Arial" w:cs="Arial" w:eastAsia="Arial" w:hAnsi="Arial"/>
                  <w:sz w:val="16"/>
                  <w:szCs w:val="16"/>
                  <w:color w:val="0000FF"/>
                  <w:w w:val="93"/>
                </w:rPr>
                <w:t>trustee and collateral agent (incorporated by reference to Exhibit 4.1 to the Company’s Current Report on Form 8-K filed on November 19, 2019,</w:t>
              </w:r>
            </w:hyperlink>
          </w:p>
        </w:tc>
        <w:tc>
          <w:tcPr>
            <w:tcW w:w="200" w:type="dxa"/>
            <w:vAlign w:val="bottom"/>
            <w:gridSpan w:val="7"/>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20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117">
              <w:r>
                <w:rPr>
                  <w:rFonts w:ascii="Arial" w:cs="Arial" w:eastAsia="Arial" w:hAnsi="Arial"/>
                  <w:sz w:val="16"/>
                  <w:szCs w:val="16"/>
                  <w:color w:val="0000FF"/>
                  <w:w w:val="91"/>
                </w:rPr>
                <w:t>SEC File Number 001-11993).</w:t>
              </w:r>
            </w:hyperlink>
          </w:p>
        </w:tc>
        <w:tc>
          <w:tcPr>
            <w:tcW w:w="7420" w:type="dxa"/>
            <w:vAlign w:val="bottom"/>
            <w:tcBorders>
              <w:top w:val="single" w:sz="8" w:color="0000FF"/>
            </w:tcBorders>
            <w:gridSpan w:val="5"/>
          </w:tcPr>
          <w:p>
            <w:pPr>
              <w:spacing w:after="0"/>
              <w:rPr>
                <w:sz w:val="12"/>
                <w:szCs w:val="12"/>
                <w:color w:val="auto"/>
              </w:rPr>
            </w:pPr>
          </w:p>
        </w:tc>
        <w:tc>
          <w:tcPr>
            <w:tcW w:w="380" w:type="dxa"/>
            <w:vAlign w:val="bottom"/>
            <w:gridSpan w:val="8"/>
          </w:tcPr>
          <w:p>
            <w:pPr>
              <w:spacing w:after="0"/>
              <w:rPr>
                <w:sz w:val="12"/>
                <w:szCs w:val="12"/>
                <w:color w:val="auto"/>
              </w:rPr>
            </w:pPr>
          </w:p>
        </w:tc>
      </w:tr>
    </w:tbl>
    <w:p>
      <w:pPr>
        <w:spacing w:after="0" w:line="3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
        <w:spacing w:after="0"/>
        <w:rPr>
          <w:sz w:val="20"/>
          <w:szCs w:val="20"/>
          <w:color w:val="auto"/>
        </w:rPr>
      </w:pPr>
      <w:r>
        <w:rPr>
          <w:rFonts w:ascii="Arial" w:cs="Arial" w:eastAsia="Arial" w:hAnsi="Arial"/>
          <w:sz w:val="16"/>
          <w:szCs w:val="16"/>
          <w:color w:val="auto"/>
        </w:rPr>
        <w:t>4.12</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w:t>
      </w:r>
      <w:r>
        <w:rPr>
          <w:rFonts w:ascii="Arial" w:cs="Arial" w:eastAsia="Arial" w:hAnsi="Arial"/>
          <w:sz w:val="15"/>
          <w:szCs w:val="15"/>
          <w:color w:val="auto"/>
        </w:rPr>
        <w: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Description of Option Care Health Inc.’s registered securities.</w:t>
        </w:r>
      </w:hyperlink>
    </w:p>
    <w:p>
      <w:pPr>
        <w:spacing w:after="0" w:line="86" w:lineRule="exact"/>
        <w:rPr>
          <w:sz w:val="20"/>
          <w:szCs w:val="20"/>
          <w:color w:val="auto"/>
        </w:rPr>
      </w:pPr>
    </w:p>
    <w:p>
      <w:pPr>
        <w:spacing w:after="0"/>
        <w:rPr>
          <w:rFonts w:ascii="Arial" w:cs="Arial" w:eastAsia="Arial" w:hAnsi="Arial"/>
          <w:sz w:val="15"/>
          <w:szCs w:val="15"/>
          <w:color w:val="0000FF"/>
        </w:rPr>
      </w:pPr>
      <w:hyperlink r:id="rId119">
        <w:r>
          <w:rPr>
            <w:rFonts w:ascii="Arial" w:cs="Arial" w:eastAsia="Arial" w:hAnsi="Arial"/>
            <w:sz w:val="15"/>
            <w:szCs w:val="15"/>
            <w:u w:val="single" w:color="auto"/>
            <w:color w:val="0000FF"/>
          </w:rPr>
          <w:t>BioScrip, Inc. 2018 Equity Incentive Plan (Incorporated by reference to Appendix A to the definitive proxy statement filed on April 4, 2018)</w:t>
        </w:r>
        <w:r>
          <w:rPr>
            <w:rFonts w:ascii="Arial" w:cs="Arial" w:eastAsia="Arial" w:hAnsi="Arial"/>
            <w:sz w:val="15"/>
            <w:szCs w:val="15"/>
            <w:color w:val="0000FF"/>
          </w:rPr>
          <w:t>.</w:t>
        </w:r>
      </w:hyperlink>
    </w:p>
    <w:p>
      <w:pPr>
        <w:spacing w:after="0" w:line="44" w:lineRule="exact"/>
        <w:rPr>
          <w:sz w:val="20"/>
          <w:szCs w:val="20"/>
          <w:color w:val="auto"/>
        </w:rPr>
      </w:pPr>
    </w:p>
    <w:p>
      <w:pPr>
        <w:jc w:val="both"/>
        <w:ind w:right="40"/>
        <w:spacing w:after="0" w:line="230" w:lineRule="auto"/>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Amended and Restated Warrant Agreement, dated as of March 14, 2019, by and among BioScrip, Inc. and the Holders (as defined therein) signatory</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thereto (incorporated by reference to Exhibit 10.2 to the Company’s Current Report on Form 8-K filed on March 15, 2019, SEC File Number 001-</w:t>
        </w:r>
      </w:hyperlink>
      <w:hyperlink r:id="rId120">
        <w:r>
          <w:rPr>
            <w:rFonts w:ascii="Arial" w:cs="Arial" w:eastAsia="Arial" w:hAnsi="Arial"/>
            <w:sz w:val="16"/>
            <w:szCs w:val="16"/>
            <w:u w:val="single" w:color="auto"/>
            <w:color w:val="0000FF"/>
          </w:rPr>
          <w:t>11993).</w:t>
        </w:r>
      </w:hyperlink>
    </w:p>
    <w:p>
      <w:pPr>
        <w:spacing w:after="0" w:line="1" w:lineRule="exact"/>
        <w:rPr>
          <w:rFonts w:ascii="Arial" w:cs="Arial" w:eastAsia="Arial" w:hAnsi="Arial"/>
          <w:sz w:val="16"/>
          <w:szCs w:val="16"/>
          <w:u w:val="single" w:color="auto"/>
          <w:color w:val="0000FF"/>
        </w:rPr>
      </w:pPr>
    </w:p>
    <w:p>
      <w:pPr>
        <w:sectPr>
          <w:pgSz w:w="11900" w:h="16838" w:orient="portrait"/>
          <w:cols w:equalWidth="0" w:num="2">
            <w:col w:w="780" w:space="720"/>
            <w:col w:w="974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183"/>
        </w:trPr>
        <w:tc>
          <w:tcPr>
            <w:tcW w:w="1460" w:type="dxa"/>
            <w:vAlign w:val="bottom"/>
          </w:tcPr>
          <w:p>
            <w:pPr>
              <w:jc w:val="right"/>
              <w:ind w:right="1099"/>
              <w:spacing w:after="0" w:line="183" w:lineRule="exact"/>
              <w:rPr>
                <w:sz w:val="20"/>
                <w:szCs w:val="20"/>
                <w:color w:val="auto"/>
              </w:rPr>
            </w:pPr>
            <w:r>
              <w:rPr>
                <w:rFonts w:ascii="Arial" w:cs="Arial" w:eastAsia="Arial" w:hAnsi="Arial"/>
                <w:sz w:val="16"/>
                <w:szCs w:val="16"/>
                <w:color w:val="auto"/>
                <w:w w:val="83"/>
              </w:rPr>
              <w:t>10.3</w:t>
            </w:r>
          </w:p>
        </w:tc>
        <w:tc>
          <w:tcPr>
            <w:tcW w:w="9880" w:type="dxa"/>
            <w:vAlign w:val="bottom"/>
            <w:gridSpan w:val="15"/>
          </w:tcPr>
          <w:p>
            <w:pPr>
              <w:spacing w:after="0" w:line="183" w:lineRule="exact"/>
              <w:rPr>
                <w:rFonts w:ascii="Arial" w:cs="Arial" w:eastAsia="Arial" w:hAnsi="Arial"/>
                <w:sz w:val="16"/>
                <w:szCs w:val="16"/>
                <w:color w:val="0000FF"/>
                <w:w w:val="94"/>
              </w:rPr>
            </w:pPr>
            <w:hyperlink r:id="rId121">
              <w:r>
                <w:rPr>
                  <w:rFonts w:ascii="Arial" w:cs="Arial" w:eastAsia="Arial" w:hAnsi="Arial"/>
                  <w:sz w:val="16"/>
                  <w:szCs w:val="16"/>
                  <w:color w:val="0000FF"/>
                  <w:w w:val="94"/>
                </w:rPr>
                <w:t>Form of Letter Agreement, dated March 14, 2019, by and among BioScrip, Inc. and each of the Holders (incorporated by reference to Exhibit 10.3 to</w:t>
              </w:r>
            </w:hyperlink>
          </w:p>
        </w:tc>
      </w:tr>
      <w:tr>
        <w:trPr>
          <w:trHeight w:val="142"/>
        </w:trPr>
        <w:tc>
          <w:tcPr>
            <w:tcW w:w="1460" w:type="dxa"/>
            <w:vAlign w:val="bottom"/>
          </w:tcPr>
          <w:p>
            <w:pPr>
              <w:spacing w:after="0"/>
              <w:rPr>
                <w:sz w:val="12"/>
                <w:szCs w:val="12"/>
                <w:color w:val="auto"/>
              </w:rPr>
            </w:pPr>
          </w:p>
        </w:tc>
        <w:tc>
          <w:tcPr>
            <w:tcW w:w="968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the Company’s Current Report on Form 8-K filed on March 15, 2019, SEC File Number 001-11993).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6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099"/>
              <w:spacing w:after="0"/>
              <w:rPr>
                <w:sz w:val="20"/>
                <w:szCs w:val="20"/>
                <w:color w:val="auto"/>
              </w:rPr>
            </w:pPr>
            <w:r>
              <w:rPr>
                <w:rFonts w:ascii="Arial" w:cs="Arial" w:eastAsia="Arial" w:hAnsi="Arial"/>
                <w:sz w:val="16"/>
                <w:szCs w:val="16"/>
                <w:color w:val="auto"/>
                <w:w w:val="83"/>
              </w:rPr>
              <w:t>10.4</w:t>
            </w:r>
          </w:p>
        </w:tc>
        <w:tc>
          <w:tcPr>
            <w:tcW w:w="9880" w:type="dxa"/>
            <w:vAlign w:val="bottom"/>
            <w:gridSpan w:val="15"/>
          </w:tcPr>
          <w:p>
            <w:pPr>
              <w:spacing w:after="0"/>
              <w:rPr>
                <w:rFonts w:ascii="Arial" w:cs="Arial" w:eastAsia="Arial" w:hAnsi="Arial"/>
                <w:sz w:val="16"/>
                <w:szCs w:val="16"/>
                <w:color w:val="0000FF"/>
                <w:w w:val="94"/>
              </w:rPr>
            </w:pPr>
            <w:hyperlink r:id="rId122">
              <w:r>
                <w:rPr>
                  <w:rFonts w:ascii="Arial" w:cs="Arial" w:eastAsia="Arial" w:hAnsi="Arial"/>
                  <w:sz w:val="16"/>
                  <w:szCs w:val="16"/>
                  <w:color w:val="0000FF"/>
                  <w:w w:val="94"/>
                </w:rPr>
                <w:t>Registration Rights Agreement, dated as of August 6, 2019, by and among BioScrip, Inc. and HC Group Holdings I, LLC (incorporated by reference</w:t>
              </w:r>
            </w:hyperlink>
          </w:p>
        </w:tc>
      </w:tr>
      <w:tr>
        <w:trPr>
          <w:trHeight w:val="142"/>
        </w:trPr>
        <w:tc>
          <w:tcPr>
            <w:tcW w:w="1460" w:type="dxa"/>
            <w:vAlign w:val="bottom"/>
          </w:tcPr>
          <w:p>
            <w:pPr>
              <w:spacing w:after="0"/>
              <w:rPr>
                <w:sz w:val="12"/>
                <w:szCs w:val="12"/>
                <w:color w:val="auto"/>
              </w:rPr>
            </w:pPr>
          </w:p>
        </w:tc>
        <w:tc>
          <w:tcPr>
            <w:tcW w:w="970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to Exhibit 10.1 to the Company’s Current Report on Form 8-K filed on August 7, 2019, SEC File Number 001-11993).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099"/>
              <w:spacing w:after="0"/>
              <w:rPr>
                <w:sz w:val="20"/>
                <w:szCs w:val="20"/>
                <w:color w:val="auto"/>
              </w:rPr>
            </w:pPr>
            <w:r>
              <w:rPr>
                <w:rFonts w:ascii="Arial" w:cs="Arial" w:eastAsia="Arial" w:hAnsi="Arial"/>
                <w:sz w:val="16"/>
                <w:szCs w:val="16"/>
                <w:color w:val="auto"/>
                <w:w w:val="83"/>
              </w:rPr>
              <w:t>10.5</w:t>
            </w:r>
          </w:p>
        </w:tc>
        <w:tc>
          <w:tcPr>
            <w:tcW w:w="9880" w:type="dxa"/>
            <w:vAlign w:val="bottom"/>
            <w:gridSpan w:val="15"/>
          </w:tcPr>
          <w:p>
            <w:pPr>
              <w:spacing w:after="0"/>
              <w:rPr>
                <w:rFonts w:ascii="Arial" w:cs="Arial" w:eastAsia="Arial" w:hAnsi="Arial"/>
                <w:sz w:val="16"/>
                <w:szCs w:val="16"/>
                <w:color w:val="0000FF"/>
                <w:w w:val="98"/>
              </w:rPr>
            </w:pPr>
            <w:hyperlink r:id="rId123">
              <w:r>
                <w:rPr>
                  <w:rFonts w:ascii="Arial" w:cs="Arial" w:eastAsia="Arial" w:hAnsi="Arial"/>
                  <w:sz w:val="16"/>
                  <w:szCs w:val="16"/>
                  <w:color w:val="0000FF"/>
                  <w:w w:val="98"/>
                </w:rPr>
                <w:t>Director Nomination Agreement, dated as of August 6, 2019, by and among the BioScrip, Inc. and HC Group Holdings I, LLC (incorporated by</w:t>
              </w:r>
            </w:hyperlink>
          </w:p>
        </w:tc>
      </w:tr>
      <w:tr>
        <w:trPr>
          <w:trHeight w:val="186"/>
        </w:trPr>
        <w:tc>
          <w:tcPr>
            <w:tcW w:w="1460" w:type="dxa"/>
            <w:vAlign w:val="bottom"/>
          </w:tcPr>
          <w:p>
            <w:pPr>
              <w:spacing w:after="0"/>
              <w:rPr>
                <w:sz w:val="16"/>
                <w:szCs w:val="16"/>
                <w:color w:val="auto"/>
              </w:rPr>
            </w:pPr>
          </w:p>
        </w:tc>
        <w:tc>
          <w:tcPr>
            <w:tcW w:w="9800" w:type="dxa"/>
            <w:vAlign w:val="bottom"/>
            <w:tcBorders>
              <w:top w:val="single" w:sz="8" w:color="0000FF"/>
            </w:tcBorders>
            <w:gridSpan w:val="11"/>
          </w:tcPr>
          <w:p>
            <w:pPr>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reference to Exhibit 10.2 to the Company’s Current Report on Form 8-K filed on August 7, 2019, SEC File Number 001-11993).</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1460" w:type="dxa"/>
            <w:vAlign w:val="bottom"/>
          </w:tcPr>
          <w:p>
            <w:pPr>
              <w:jc w:val="right"/>
              <w:ind w:right="1099"/>
              <w:spacing w:after="0" w:line="172" w:lineRule="exact"/>
              <w:rPr>
                <w:sz w:val="20"/>
                <w:szCs w:val="20"/>
                <w:color w:val="auto"/>
              </w:rPr>
            </w:pPr>
            <w:r>
              <w:rPr>
                <w:rFonts w:ascii="Arial" w:cs="Arial" w:eastAsia="Arial" w:hAnsi="Arial"/>
                <w:sz w:val="16"/>
                <w:szCs w:val="16"/>
                <w:color w:val="auto"/>
                <w:w w:val="83"/>
              </w:rPr>
              <w:t>10.6</w:t>
            </w:r>
          </w:p>
        </w:tc>
        <w:tc>
          <w:tcPr>
            <w:tcW w:w="9880" w:type="dxa"/>
            <w:vAlign w:val="bottom"/>
            <w:gridSpan w:val="15"/>
          </w:tcPr>
          <w:p>
            <w:pPr>
              <w:spacing w:after="0" w:line="172" w:lineRule="exact"/>
              <w:rPr>
                <w:rFonts w:ascii="Arial" w:cs="Arial" w:eastAsia="Arial" w:hAnsi="Arial"/>
                <w:sz w:val="16"/>
                <w:szCs w:val="16"/>
                <w:color w:val="0000FF"/>
                <w:w w:val="96"/>
              </w:rPr>
            </w:pPr>
            <w:hyperlink r:id="rId124">
              <w:r>
                <w:rPr>
                  <w:rFonts w:ascii="Arial" w:cs="Arial" w:eastAsia="Arial" w:hAnsi="Arial"/>
                  <w:sz w:val="16"/>
                  <w:szCs w:val="16"/>
                  <w:color w:val="0000FF"/>
                  <w:w w:val="96"/>
                </w:rPr>
                <w:t>First Lien Credit Agreement, dated as of August 6, 2019, among HC Group Holdings II, LLC, as the Initial Borrower, BioScrip, Inc., as the Parent</w:t>
              </w:r>
            </w:hyperlink>
          </w:p>
        </w:tc>
      </w:tr>
      <w:tr>
        <w:trPr>
          <w:trHeight w:val="142"/>
        </w:trPr>
        <w:tc>
          <w:tcPr>
            <w:tcW w:w="146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3"/>
              </w:rPr>
            </w:pPr>
            <w:hyperlink r:id="rId124">
              <w:r>
                <w:rPr>
                  <w:rFonts w:ascii="Arial" w:cs="Arial" w:eastAsia="Arial" w:hAnsi="Arial"/>
                  <w:sz w:val="16"/>
                  <w:szCs w:val="16"/>
                  <w:color w:val="0000FF"/>
                  <w:w w:val="93"/>
                </w:rPr>
                <w:t>Borrower, the guarantors party thereto from time to time, Bank of America, N.A., as the Administrative Agent, the lenders party thereto from time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9860" w:type="dxa"/>
            <w:vAlign w:val="bottom"/>
            <w:gridSpan w:val="14"/>
          </w:tcPr>
          <w:p>
            <w:pPr>
              <w:spacing w:after="0" w:line="142" w:lineRule="exact"/>
              <w:rPr>
                <w:rFonts w:ascii="Arial" w:cs="Arial" w:eastAsia="Arial" w:hAnsi="Arial"/>
                <w:sz w:val="16"/>
                <w:szCs w:val="16"/>
                <w:color w:val="0000FF"/>
                <w:w w:val="96"/>
              </w:rPr>
            </w:pPr>
            <w:hyperlink r:id="rId124">
              <w:r>
                <w:rPr>
                  <w:rFonts w:ascii="Arial" w:cs="Arial" w:eastAsia="Arial" w:hAnsi="Arial"/>
                  <w:sz w:val="16"/>
                  <w:szCs w:val="16"/>
                  <w:color w:val="0000FF"/>
                  <w:w w:val="96"/>
                </w:rPr>
                <w:t>time, BofA Securities, Inc., as Lead Arranger and Bookrunner and as Syndication Agent and Documentation Agent (incorporated by reference to</w:t>
              </w:r>
            </w:hyperlink>
          </w:p>
        </w:tc>
        <w:tc>
          <w:tcPr>
            <w:tcW w:w="20" w:type="dxa"/>
            <w:vAlign w:val="bottom"/>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75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3"/>
              </w:rPr>
            </w:pPr>
            <w:hyperlink r:id="rId124">
              <w:r>
                <w:rPr>
                  <w:rFonts w:ascii="Arial" w:cs="Arial" w:eastAsia="Arial" w:hAnsi="Arial"/>
                  <w:sz w:val="16"/>
                  <w:szCs w:val="16"/>
                  <w:color w:val="0000FF"/>
                  <w:w w:val="93"/>
                </w:rPr>
                <w:t>Exhibit 10.3 to the Company’s Current Report on Form 8-K filed on August 7, 2019, SEC File Number 001-11993).</w:t>
              </w:r>
            </w:hyperlink>
          </w:p>
        </w:tc>
        <w:tc>
          <w:tcPr>
            <w:tcW w:w="22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460" w:type="dxa"/>
            <w:vAlign w:val="bottom"/>
          </w:tcPr>
          <w:p>
            <w:pPr>
              <w:jc w:val="right"/>
              <w:ind w:right="1099"/>
              <w:spacing w:after="0"/>
              <w:rPr>
                <w:sz w:val="20"/>
                <w:szCs w:val="20"/>
                <w:color w:val="auto"/>
              </w:rPr>
            </w:pPr>
            <w:r>
              <w:rPr>
                <w:rFonts w:ascii="Arial" w:cs="Arial" w:eastAsia="Arial" w:hAnsi="Arial"/>
                <w:sz w:val="16"/>
                <w:szCs w:val="16"/>
                <w:color w:val="auto"/>
                <w:w w:val="83"/>
              </w:rPr>
              <w:t>10.7</w:t>
            </w:r>
          </w:p>
        </w:tc>
        <w:tc>
          <w:tcPr>
            <w:tcW w:w="9880" w:type="dxa"/>
            <w:vAlign w:val="bottom"/>
            <w:gridSpan w:val="15"/>
          </w:tcPr>
          <w:p>
            <w:pPr>
              <w:spacing w:after="0"/>
              <w:rPr>
                <w:rFonts w:ascii="Arial" w:cs="Arial" w:eastAsia="Arial" w:hAnsi="Arial"/>
                <w:sz w:val="16"/>
                <w:szCs w:val="16"/>
                <w:color w:val="0000FF"/>
              </w:rPr>
            </w:pPr>
            <w:hyperlink r:id="rId125">
              <w:r>
                <w:rPr>
                  <w:rFonts w:ascii="Arial" w:cs="Arial" w:eastAsia="Arial" w:hAnsi="Arial"/>
                  <w:sz w:val="16"/>
                  <w:szCs w:val="16"/>
                  <w:color w:val="0000FF"/>
                </w:rPr>
                <w:t>ABL Credit Agreement, dated as of August 6, 2019, among HC Group Holdings II, LLC, as the Initial Borrower, BioScrip, Inc., as the Parent</w:t>
              </w:r>
            </w:hyperlink>
          </w:p>
        </w:tc>
      </w:tr>
      <w:tr>
        <w:trPr>
          <w:trHeight w:val="142"/>
        </w:trPr>
        <w:tc>
          <w:tcPr>
            <w:tcW w:w="1460" w:type="dxa"/>
            <w:vAlign w:val="bottom"/>
          </w:tcPr>
          <w:p>
            <w:pPr>
              <w:spacing w:after="0"/>
              <w:rPr>
                <w:sz w:val="12"/>
                <w:szCs w:val="12"/>
                <w:color w:val="auto"/>
              </w:rPr>
            </w:pPr>
          </w:p>
        </w:tc>
        <w:tc>
          <w:tcPr>
            <w:tcW w:w="9740" w:type="dxa"/>
            <w:vAlign w:val="bottom"/>
            <w:tcBorders>
              <w:top w:val="single" w:sz="8" w:color="0000FF"/>
            </w:tcBorders>
            <w:gridSpan w:val="8"/>
          </w:tcPr>
          <w:p>
            <w:pPr>
              <w:spacing w:after="0" w:line="142" w:lineRule="exact"/>
              <w:rPr>
                <w:rFonts w:ascii="Arial" w:cs="Arial" w:eastAsia="Arial" w:hAnsi="Arial"/>
                <w:sz w:val="16"/>
                <w:szCs w:val="16"/>
                <w:color w:val="0000FF"/>
                <w:w w:val="94"/>
              </w:rPr>
            </w:pPr>
            <w:hyperlink r:id="rId125">
              <w:r>
                <w:rPr>
                  <w:rFonts w:ascii="Arial" w:cs="Arial" w:eastAsia="Arial" w:hAnsi="Arial"/>
                  <w:sz w:val="16"/>
                  <w:szCs w:val="16"/>
                  <w:color w:val="0000FF"/>
                  <w:w w:val="94"/>
                </w:rPr>
                <w:t>Borrower, and Bank of America N.A., as the Administrative Agent, Issuing Bank and Swing Line Lender, the other lenders party thereto from time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9800" w:type="dxa"/>
            <w:vAlign w:val="bottom"/>
            <w:tcBorders>
              <w:top w:val="single" w:sz="8" w:color="0000FF"/>
            </w:tcBorders>
            <w:gridSpan w:val="11"/>
          </w:tcPr>
          <w:p>
            <w:pPr>
              <w:spacing w:after="0" w:line="142" w:lineRule="exact"/>
              <w:rPr>
                <w:rFonts w:ascii="Arial" w:cs="Arial" w:eastAsia="Arial" w:hAnsi="Arial"/>
                <w:sz w:val="16"/>
                <w:szCs w:val="16"/>
                <w:color w:val="0000FF"/>
                <w:w w:val="95"/>
              </w:rPr>
            </w:pPr>
            <w:hyperlink r:id="rId125">
              <w:r>
                <w:rPr>
                  <w:rFonts w:ascii="Arial" w:cs="Arial" w:eastAsia="Arial" w:hAnsi="Arial"/>
                  <w:sz w:val="16"/>
                  <w:szCs w:val="16"/>
                  <w:color w:val="0000FF"/>
                  <w:w w:val="95"/>
                </w:rPr>
                <w:t>to time and Bank of America, N.A. and ACF Finco I LP as Joint Lead Arrangers and Joint Lead Bookrunners (incorporated by reference to Exhibit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97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10.</w:t>
              </w:r>
              <w:r>
                <w:rPr>
                  <w:rFonts w:ascii="Arial" w:cs="Arial" w:eastAsia="Arial" w:hAnsi="Arial"/>
                  <w:sz w:val="16"/>
                  <w:szCs w:val="16"/>
                  <w:u w:val="single" w:color="auto"/>
                  <w:color w:val="0000FF"/>
                </w:rPr>
                <w:t>4</w:t>
              </w:r>
              <w:r>
                <w:rPr>
                  <w:rFonts w:ascii="Arial" w:cs="Arial" w:eastAsia="Arial" w:hAnsi="Arial"/>
                  <w:sz w:val="16"/>
                  <w:szCs w:val="16"/>
                  <w:color w:val="0000FF"/>
                </w:rPr>
                <w:t xml:space="preserve"> to the Company’s Current Report on Form 8-K filed on August 7, 2019, SEC File Number 001-11993).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60" w:type="dxa"/>
            <w:vAlign w:val="bottom"/>
          </w:tcPr>
          <w:p>
            <w:pPr>
              <w:jc w:val="right"/>
              <w:ind w:right="1099"/>
              <w:spacing w:after="0"/>
              <w:rPr>
                <w:sz w:val="20"/>
                <w:szCs w:val="20"/>
                <w:color w:val="auto"/>
              </w:rPr>
            </w:pPr>
            <w:r>
              <w:rPr>
                <w:rFonts w:ascii="Arial" w:cs="Arial" w:eastAsia="Arial" w:hAnsi="Arial"/>
                <w:sz w:val="16"/>
                <w:szCs w:val="16"/>
                <w:color w:val="auto"/>
                <w:w w:val="83"/>
              </w:rPr>
              <w:t>10.8</w:t>
            </w:r>
          </w:p>
        </w:tc>
        <w:tc>
          <w:tcPr>
            <w:tcW w:w="9880" w:type="dxa"/>
            <w:vAlign w:val="bottom"/>
            <w:gridSpan w:val="15"/>
          </w:tcPr>
          <w:p>
            <w:pPr>
              <w:spacing w:after="0"/>
              <w:rPr>
                <w:rFonts w:ascii="Arial" w:cs="Arial" w:eastAsia="Arial" w:hAnsi="Arial"/>
                <w:sz w:val="16"/>
                <w:szCs w:val="16"/>
                <w:color w:val="0000FF"/>
                <w:w w:val="94"/>
              </w:rPr>
            </w:pPr>
            <w:hyperlink r:id="rId126">
              <w:r>
                <w:rPr>
                  <w:rFonts w:ascii="Arial" w:cs="Arial" w:eastAsia="Arial" w:hAnsi="Arial"/>
                  <w:sz w:val="16"/>
                  <w:szCs w:val="16"/>
                  <w:color w:val="0000FF"/>
                  <w:w w:val="94"/>
                </w:rPr>
                <w:t>Note Purchase Agreement, dated as of August 6, 2019, among HC Group Holdings II, LLC, as the Initial Issuer, BioScrip, Inc., as the Parent Issuer,</w:t>
              </w:r>
            </w:hyperlink>
          </w:p>
        </w:tc>
      </w:tr>
      <w:tr>
        <w:trPr>
          <w:trHeight w:val="142"/>
        </w:trPr>
        <w:tc>
          <w:tcPr>
            <w:tcW w:w="1460" w:type="dxa"/>
            <w:vAlign w:val="bottom"/>
          </w:tcPr>
          <w:p>
            <w:pPr>
              <w:spacing w:after="0"/>
              <w:rPr>
                <w:sz w:val="12"/>
                <w:szCs w:val="12"/>
                <w:color w:val="auto"/>
              </w:rPr>
            </w:pPr>
          </w:p>
        </w:tc>
        <w:tc>
          <w:tcPr>
            <w:tcW w:w="9840" w:type="dxa"/>
            <w:vAlign w:val="bottom"/>
            <w:tcBorders>
              <w:top w:val="single" w:sz="8" w:color="0000FF"/>
            </w:tcBorders>
            <w:gridSpan w:val="13"/>
          </w:tcPr>
          <w:p>
            <w:pPr>
              <w:spacing w:after="0" w:line="142" w:lineRule="exact"/>
              <w:rPr>
                <w:rFonts w:ascii="Arial" w:cs="Arial" w:eastAsia="Arial" w:hAnsi="Arial"/>
                <w:sz w:val="16"/>
                <w:szCs w:val="16"/>
                <w:color w:val="0000FF"/>
                <w:w w:val="97"/>
              </w:rPr>
            </w:pPr>
            <w:hyperlink r:id="rId126">
              <w:r>
                <w:rPr>
                  <w:rFonts w:ascii="Arial" w:cs="Arial" w:eastAsia="Arial" w:hAnsi="Arial"/>
                  <w:sz w:val="16"/>
                  <w:szCs w:val="16"/>
                  <w:color w:val="0000FF"/>
                  <w:w w:val="97"/>
                </w:rPr>
                <w:t>subsidiary issuers and guarantors party thereto from time to time, and the several initial purchasers party thereto (incorporated by reference to</w:t>
              </w:r>
            </w:hyperlink>
          </w:p>
        </w:tc>
        <w:tc>
          <w:tcPr>
            <w:tcW w:w="40" w:type="dxa"/>
            <w:vAlign w:val="bottom"/>
            <w:gridSpan w:val="2"/>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75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3"/>
              </w:rPr>
            </w:pPr>
            <w:hyperlink r:id="rId126">
              <w:r>
                <w:rPr>
                  <w:rFonts w:ascii="Arial" w:cs="Arial" w:eastAsia="Arial" w:hAnsi="Arial"/>
                  <w:sz w:val="16"/>
                  <w:szCs w:val="16"/>
                  <w:color w:val="0000FF"/>
                  <w:w w:val="93"/>
                </w:rPr>
                <w:t>Exhibit 10.5 to the Company’s Current Report on Form 8-K filed on August 7, 2019, SEC File Number 001-11993).</w:t>
              </w:r>
            </w:hyperlink>
          </w:p>
        </w:tc>
        <w:tc>
          <w:tcPr>
            <w:tcW w:w="2280" w:type="dxa"/>
            <w:vAlign w:val="bottom"/>
            <w:tcBorders>
              <w:top w:val="single" w:sz="8" w:color="0000FF"/>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r>
    </w:tbl>
    <w:p>
      <w:pPr>
        <w:spacing w:after="0" w:line="3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w:t>
      </w:r>
      <w:r>
        <w:rPr>
          <w:rFonts w:ascii="Arial" w:cs="Arial" w:eastAsia="Arial" w:hAnsi="Arial"/>
          <w:sz w:val="17"/>
          <w:szCs w:val="17"/>
          <w:color w:val="auto"/>
        </w:rPr>
        <w: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10.10</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ind w:right="220"/>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John Rademacher Amended and Restated Employment Agreement entered into on February 23, 2018 (incorporated by reference to Exhibit 10.1 to</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the Company’s Current Report on Form 8-K filed on August 7, 2019, SEC File Number 001-11993).</w:t>
        </w:r>
      </w:hyperlink>
    </w:p>
    <w:p>
      <w:pPr>
        <w:spacing w:after="0" w:line="10" w:lineRule="exact"/>
        <w:rPr>
          <w:sz w:val="20"/>
          <w:szCs w:val="20"/>
          <w:color w:val="auto"/>
        </w:rPr>
      </w:pPr>
    </w:p>
    <w:p>
      <w:pPr>
        <w:ind w:right="360"/>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Michael Shapiro Employment Agreement entered into on October 13, 2015 (incorporated by reference to Exhibit 10.2 to the Company’s Current</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Report on Form 8-K filed on August 7, 2019, SEC File Number 001-11993).</w:t>
        </w:r>
      </w:hyperlink>
    </w:p>
    <w:p>
      <w:pPr>
        <w:spacing w:after="0" w:line="1" w:lineRule="exact"/>
        <w:rPr>
          <w:sz w:val="20"/>
          <w:szCs w:val="20"/>
          <w:color w:val="auto"/>
        </w:rPr>
      </w:pPr>
    </w:p>
    <w:p>
      <w:pPr>
        <w:sectPr>
          <w:pgSz w:w="11900" w:h="16838" w:orient="portrait"/>
          <w:cols w:equalWidth="0" w:num="2">
            <w:col w:w="780" w:space="720"/>
            <w:col w:w="9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500" w:type="dxa"/>
            <w:vAlign w:val="bottom"/>
          </w:tcPr>
          <w:p>
            <w:pPr>
              <w:ind w:left="40"/>
              <w:spacing w:after="0" w:line="182" w:lineRule="exact"/>
              <w:rPr>
                <w:sz w:val="20"/>
                <w:szCs w:val="20"/>
                <w:color w:val="auto"/>
              </w:rPr>
            </w:pPr>
            <w:r>
              <w:rPr>
                <w:rFonts w:ascii="Arial" w:cs="Arial" w:eastAsia="Arial" w:hAnsi="Arial"/>
                <w:sz w:val="16"/>
                <w:szCs w:val="16"/>
                <w:color w:val="auto"/>
              </w:rPr>
              <w:t>10.11</w:t>
            </w:r>
            <w:r>
              <w:rPr>
                <w:rFonts w:ascii="Arial" w:cs="Arial" w:eastAsia="Arial" w:hAnsi="Arial"/>
                <w:sz w:val="17"/>
                <w:szCs w:val="17"/>
                <w:color w:val="auto"/>
              </w:rPr>
              <w:t>†</w:t>
            </w:r>
          </w:p>
        </w:tc>
        <w:tc>
          <w:tcPr>
            <w:tcW w:w="9660" w:type="dxa"/>
            <w:vAlign w:val="bottom"/>
            <w:tcBorders>
              <w:bottom w:val="single" w:sz="8" w:color="0000FF"/>
            </w:tcBorders>
            <w:gridSpan w:val="4"/>
          </w:tcPr>
          <w:p>
            <w:pPr>
              <w:spacing w:after="0" w:line="162" w:lineRule="exact"/>
              <w:rPr>
                <w:rFonts w:ascii="Arial" w:cs="Arial" w:eastAsia="Arial" w:hAnsi="Arial"/>
                <w:sz w:val="16"/>
                <w:szCs w:val="16"/>
                <w:color w:val="0000FF"/>
                <w:w w:val="92"/>
              </w:rPr>
            </w:pPr>
            <w:hyperlink r:id="rId129">
              <w:r>
                <w:rPr>
                  <w:rFonts w:ascii="Arial" w:cs="Arial" w:eastAsia="Arial" w:hAnsi="Arial"/>
                  <w:sz w:val="16"/>
                  <w:szCs w:val="16"/>
                  <w:color w:val="0000FF"/>
                  <w:w w:val="92"/>
                </w:rPr>
                <w:t>Harriet Booker Employment Agreement entered into on June 3, 2019 (incorporated by reference to Exhibit 10.3 to the Company’s Current Report on</w:t>
              </w:r>
            </w:hyperlink>
          </w:p>
        </w:tc>
        <w:tc>
          <w:tcPr>
            <w:tcW w:w="80" w:type="dxa"/>
            <w:vAlign w:val="bottom"/>
          </w:tcPr>
          <w:p>
            <w:pPr>
              <w:spacing w:after="0"/>
              <w:rPr>
                <w:sz w:val="15"/>
                <w:szCs w:val="15"/>
                <w:color w:val="auto"/>
              </w:rPr>
            </w:pPr>
          </w:p>
        </w:tc>
      </w:tr>
      <w:tr>
        <w:trPr>
          <w:trHeight w:val="142"/>
        </w:trPr>
        <w:tc>
          <w:tcPr>
            <w:tcW w:w="1500" w:type="dxa"/>
            <w:vAlign w:val="bottom"/>
          </w:tcPr>
          <w:p>
            <w:pPr>
              <w:spacing w:after="0"/>
              <w:rPr>
                <w:sz w:val="12"/>
                <w:szCs w:val="12"/>
                <w:color w:val="auto"/>
              </w:rPr>
            </w:pPr>
          </w:p>
        </w:tc>
        <w:tc>
          <w:tcPr>
            <w:tcW w:w="4300" w:type="dxa"/>
            <w:vAlign w:val="bottom"/>
            <w:tcBorders>
              <w:bottom w:val="single" w:sz="8" w:color="0000FF"/>
            </w:tcBorders>
          </w:tcPr>
          <w:p>
            <w:pPr>
              <w:spacing w:after="0" w:line="142" w:lineRule="exact"/>
              <w:rPr>
                <w:rFonts w:ascii="Arial" w:cs="Arial" w:eastAsia="Arial" w:hAnsi="Arial"/>
                <w:sz w:val="16"/>
                <w:szCs w:val="16"/>
                <w:color w:val="0000FF"/>
                <w:w w:val="93"/>
              </w:rPr>
            </w:pPr>
            <w:hyperlink r:id="rId129">
              <w:r>
                <w:rPr>
                  <w:rFonts w:ascii="Arial" w:cs="Arial" w:eastAsia="Arial" w:hAnsi="Arial"/>
                  <w:sz w:val="16"/>
                  <w:szCs w:val="16"/>
                  <w:color w:val="0000FF"/>
                  <w:w w:val="93"/>
                </w:rPr>
                <w:t>Form 8-K filed on August 7, 2019, SEC File Number 001-11993).</w:t>
              </w:r>
            </w:hyperlink>
          </w:p>
        </w:tc>
        <w:tc>
          <w:tcPr>
            <w:tcW w:w="53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6"/>
                <w:szCs w:val="16"/>
                <w:color w:val="auto"/>
              </w:rPr>
              <w:t>10.12†</w:t>
            </w:r>
          </w:p>
        </w:tc>
        <w:tc>
          <w:tcPr>
            <w:tcW w:w="9740" w:type="dxa"/>
            <w:vAlign w:val="bottom"/>
            <w:gridSpan w:val="5"/>
          </w:tcPr>
          <w:p>
            <w:pPr>
              <w:spacing w:after="0"/>
              <w:rPr>
                <w:rFonts w:ascii="Arial" w:cs="Arial" w:eastAsia="Arial" w:hAnsi="Arial"/>
                <w:sz w:val="16"/>
                <w:szCs w:val="16"/>
                <w:color w:val="0000FF"/>
              </w:rPr>
            </w:pPr>
            <w:hyperlink w:anchor="page88">
              <w:r>
                <w:rPr>
                  <w:rFonts w:ascii="Arial" w:cs="Arial" w:eastAsia="Arial" w:hAnsi="Arial"/>
                  <w:sz w:val="16"/>
                  <w:szCs w:val="16"/>
                  <w:u w:val="single" w:color="auto"/>
                  <w:color w:val="0000FF"/>
                </w:rPr>
                <w:t>Rich Denness Employment Agreement entered into on June 8, 2019 (filed herewith)</w:t>
              </w:r>
              <w:r>
                <w:rPr>
                  <w:rFonts w:ascii="Arial" w:cs="Arial" w:eastAsia="Arial" w:hAnsi="Arial"/>
                  <w:sz w:val="16"/>
                  <w:szCs w:val="16"/>
                  <w:color w:val="0000FF"/>
                </w:rPr>
                <w:t>.</w:t>
              </w:r>
            </w:hyperlink>
          </w:p>
        </w:tc>
      </w:tr>
      <w:tr>
        <w:trPr>
          <w:trHeight w:val="216"/>
        </w:trPr>
        <w:tc>
          <w:tcPr>
            <w:tcW w:w="1500" w:type="dxa"/>
            <w:vAlign w:val="bottom"/>
          </w:tcPr>
          <w:p>
            <w:pPr>
              <w:ind w:left="40"/>
              <w:spacing w:after="0"/>
              <w:rPr>
                <w:sz w:val="20"/>
                <w:szCs w:val="20"/>
                <w:color w:val="auto"/>
              </w:rPr>
            </w:pPr>
            <w:r>
              <w:rPr>
                <w:rFonts w:ascii="Arial" w:cs="Arial" w:eastAsia="Arial" w:hAnsi="Arial"/>
                <w:sz w:val="16"/>
                <w:szCs w:val="16"/>
                <w:color w:val="auto"/>
              </w:rPr>
              <w:t>10.13†</w:t>
            </w:r>
          </w:p>
        </w:tc>
        <w:tc>
          <w:tcPr>
            <w:tcW w:w="9740" w:type="dxa"/>
            <w:vAlign w:val="bottom"/>
            <w:gridSpan w:val="5"/>
          </w:tcPr>
          <w:p>
            <w:pPr>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Cliff Berman Employment Agreement entered into on August 3, 2015 (filed herewith).</w:t>
              </w:r>
            </w:hyperlink>
          </w:p>
        </w:tc>
      </w:tr>
      <w:tr>
        <w:trPr>
          <w:trHeight w:val="181"/>
        </w:trPr>
        <w:tc>
          <w:tcPr>
            <w:tcW w:w="1500" w:type="dxa"/>
            <w:vAlign w:val="bottom"/>
          </w:tcPr>
          <w:p>
            <w:pPr>
              <w:ind w:left="40"/>
              <w:spacing w:after="0" w:line="181" w:lineRule="exact"/>
              <w:rPr>
                <w:sz w:val="20"/>
                <w:szCs w:val="20"/>
                <w:color w:val="auto"/>
              </w:rPr>
            </w:pPr>
            <w:r>
              <w:rPr>
                <w:rFonts w:ascii="Arial" w:cs="Arial" w:eastAsia="Arial" w:hAnsi="Arial"/>
                <w:sz w:val="16"/>
                <w:szCs w:val="16"/>
                <w:color w:val="auto"/>
              </w:rPr>
              <w:t>10.14</w:t>
            </w:r>
          </w:p>
        </w:tc>
        <w:tc>
          <w:tcPr>
            <w:tcW w:w="9740" w:type="dxa"/>
            <w:vAlign w:val="bottom"/>
            <w:gridSpan w:val="5"/>
          </w:tcPr>
          <w:p>
            <w:pPr>
              <w:spacing w:after="0" w:line="181" w:lineRule="exact"/>
              <w:rPr>
                <w:rFonts w:ascii="Arial" w:cs="Arial" w:eastAsia="Arial" w:hAnsi="Arial"/>
                <w:sz w:val="16"/>
                <w:szCs w:val="16"/>
                <w:color w:val="0000FF"/>
                <w:w w:val="96"/>
              </w:rPr>
            </w:pPr>
            <w:hyperlink r:id="rId130">
              <w:r>
                <w:rPr>
                  <w:rFonts w:ascii="Arial" w:cs="Arial" w:eastAsia="Arial" w:hAnsi="Arial"/>
                  <w:sz w:val="16"/>
                  <w:szCs w:val="16"/>
                  <w:color w:val="0000FF"/>
                  <w:w w:val="96"/>
                </w:rPr>
                <w:t>First Amendment to ABL Credit Agreement, dated as of October 5, 2020, among Option Care Health, Inc. (f/k/a BioScrip, Inc.), each Guarantor</w:t>
              </w:r>
            </w:hyperlink>
          </w:p>
        </w:tc>
      </w:tr>
      <w:tr>
        <w:trPr>
          <w:trHeight w:val="142"/>
        </w:trPr>
        <w:tc>
          <w:tcPr>
            <w:tcW w:w="1500" w:type="dxa"/>
            <w:vAlign w:val="bottom"/>
          </w:tcPr>
          <w:p>
            <w:pPr>
              <w:spacing w:after="0"/>
              <w:rPr>
                <w:sz w:val="12"/>
                <w:szCs w:val="12"/>
                <w:color w:val="auto"/>
              </w:rPr>
            </w:pPr>
          </w:p>
        </w:tc>
        <w:tc>
          <w:tcPr>
            <w:tcW w:w="938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party hereto, each lender party hereto and Bank of America, N.A., as administrative agent.</w:t>
              </w:r>
            </w:hyperlink>
          </w:p>
        </w:tc>
        <w:tc>
          <w:tcPr>
            <w:tcW w:w="360" w:type="dxa"/>
            <w:vAlign w:val="bottom"/>
            <w:gridSpan w:val="2"/>
          </w:tcPr>
          <w:p>
            <w:pPr>
              <w:spacing w:after="0"/>
              <w:rPr>
                <w:sz w:val="12"/>
                <w:szCs w:val="12"/>
                <w:color w:val="auto"/>
              </w:rPr>
            </w:pPr>
          </w:p>
        </w:tc>
      </w:tr>
      <w:tr>
        <w:trPr>
          <w:trHeight w:val="244"/>
        </w:trPr>
        <w:tc>
          <w:tcPr>
            <w:tcW w:w="1500" w:type="dxa"/>
            <w:vAlign w:val="bottom"/>
          </w:tcPr>
          <w:p>
            <w:pPr>
              <w:ind w:left="40"/>
              <w:spacing w:after="0"/>
              <w:rPr>
                <w:sz w:val="20"/>
                <w:szCs w:val="20"/>
                <w:color w:val="auto"/>
              </w:rPr>
            </w:pPr>
            <w:r>
              <w:rPr>
                <w:rFonts w:ascii="Arial" w:cs="Arial" w:eastAsia="Arial" w:hAnsi="Arial"/>
                <w:sz w:val="16"/>
                <w:szCs w:val="16"/>
                <w:color w:val="auto"/>
              </w:rPr>
              <w:t>21.1</w:t>
            </w:r>
          </w:p>
        </w:tc>
        <w:tc>
          <w:tcPr>
            <w:tcW w:w="5820" w:type="dxa"/>
            <w:vAlign w:val="bottom"/>
            <w:tcBorders>
              <w:top w:val="single" w:sz="8" w:color="0000FF"/>
            </w:tcBorders>
            <w:gridSpan w:val="2"/>
          </w:tcPr>
          <w:p>
            <w:pPr>
              <w:spacing w:after="0"/>
              <w:rPr>
                <w:rFonts w:ascii="Arial" w:cs="Arial" w:eastAsia="Arial" w:hAnsi="Arial"/>
                <w:sz w:val="16"/>
                <w:szCs w:val="16"/>
                <w:color w:val="0000FF"/>
              </w:rPr>
            </w:pPr>
            <w:hyperlink w:anchor="page100">
              <w:r>
                <w:rPr>
                  <w:rFonts w:ascii="Arial" w:cs="Arial" w:eastAsia="Arial" w:hAnsi="Arial"/>
                  <w:sz w:val="16"/>
                  <w:szCs w:val="16"/>
                  <w:u w:val="single" w:color="auto"/>
                  <w:color w:val="0000FF"/>
                </w:rPr>
                <w:t>List of subsidiaries of Option Care Health, Inc. (filed herewith)</w:t>
              </w:r>
              <w:r>
                <w:rPr>
                  <w:rFonts w:ascii="Arial" w:cs="Arial" w:eastAsia="Arial" w:hAnsi="Arial"/>
                  <w:sz w:val="16"/>
                  <w:szCs w:val="16"/>
                  <w:color w:val="0000FF"/>
                </w:rPr>
                <w:t>.</w:t>
              </w:r>
            </w:hyperlink>
          </w:p>
        </w:tc>
        <w:tc>
          <w:tcPr>
            <w:tcW w:w="3920" w:type="dxa"/>
            <w:vAlign w:val="bottom"/>
            <w:gridSpan w:val="3"/>
          </w:tcPr>
          <w:p>
            <w:pPr>
              <w:spacing w:after="0"/>
              <w:rPr>
                <w:sz w:val="21"/>
                <w:szCs w:val="21"/>
                <w:color w:val="auto"/>
              </w:rPr>
            </w:pPr>
          </w:p>
        </w:tc>
      </w:tr>
      <w:tr>
        <w:trPr>
          <w:trHeight w:val="789"/>
        </w:trPr>
        <w:tc>
          <w:tcPr>
            <w:tcW w:w="1500" w:type="dxa"/>
            <w:vAlign w:val="bottom"/>
          </w:tcPr>
          <w:p>
            <w:pPr>
              <w:spacing w:after="0"/>
              <w:rPr>
                <w:sz w:val="24"/>
                <w:szCs w:val="24"/>
                <w:color w:val="auto"/>
              </w:rPr>
            </w:pPr>
          </w:p>
        </w:tc>
        <w:tc>
          <w:tcPr>
            <w:tcW w:w="4300" w:type="dxa"/>
            <w:vAlign w:val="bottom"/>
          </w:tcPr>
          <w:p>
            <w:pPr>
              <w:ind w:left="4040"/>
              <w:spacing w:after="0"/>
              <w:rPr>
                <w:sz w:val="20"/>
                <w:szCs w:val="20"/>
                <w:color w:val="auto"/>
              </w:rPr>
            </w:pPr>
            <w:r>
              <w:rPr>
                <w:rFonts w:ascii="Arial" w:cs="Arial" w:eastAsia="Arial" w:hAnsi="Arial"/>
                <w:sz w:val="18"/>
                <w:szCs w:val="18"/>
                <w:color w:val="auto"/>
              </w:rPr>
              <w:t>85</w:t>
            </w:r>
          </w:p>
        </w:tc>
        <w:tc>
          <w:tcPr>
            <w:tcW w:w="1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880" w:type="dxa"/>
            <w:vAlign w:val="bottom"/>
          </w:tcPr>
          <w:p>
            <w:pPr>
              <w:jc w:val="right"/>
              <w:ind w:right="519"/>
              <w:spacing w:after="0"/>
              <w:rPr>
                <w:sz w:val="20"/>
                <w:szCs w:val="20"/>
                <w:color w:val="auto"/>
              </w:rPr>
            </w:pPr>
            <w:r>
              <w:rPr>
                <w:rFonts w:ascii="Arial" w:cs="Arial" w:eastAsia="Arial" w:hAnsi="Arial"/>
                <w:sz w:val="16"/>
                <w:szCs w:val="16"/>
                <w:color w:val="auto"/>
                <w:w w:val="83"/>
              </w:rPr>
              <w:t>23.1</w:t>
            </w:r>
          </w:p>
        </w:tc>
        <w:tc>
          <w:tcPr>
            <w:tcW w:w="10240" w:type="dxa"/>
            <w:vAlign w:val="bottom"/>
            <w:gridSpan w:val="3"/>
          </w:tcPr>
          <w:p>
            <w:pPr>
              <w:ind w:left="580"/>
              <w:spacing w:after="0"/>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Consent of Independent Registered Public Accounting Firm (filed herewith).</w:t>
              </w:r>
            </w:hyperlink>
          </w:p>
        </w:tc>
      </w:tr>
      <w:tr>
        <w:trPr>
          <w:trHeight w:val="243"/>
        </w:trPr>
        <w:tc>
          <w:tcPr>
            <w:tcW w:w="880" w:type="dxa"/>
            <w:vAlign w:val="bottom"/>
          </w:tcPr>
          <w:p>
            <w:pPr>
              <w:jc w:val="right"/>
              <w:ind w:right="519"/>
              <w:spacing w:after="0"/>
              <w:rPr>
                <w:sz w:val="20"/>
                <w:szCs w:val="20"/>
                <w:color w:val="auto"/>
              </w:rPr>
            </w:pPr>
            <w:r>
              <w:rPr>
                <w:rFonts w:ascii="Arial" w:cs="Arial" w:eastAsia="Arial" w:hAnsi="Arial"/>
                <w:sz w:val="16"/>
                <w:szCs w:val="16"/>
                <w:color w:val="auto"/>
                <w:w w:val="83"/>
              </w:rPr>
              <w:t>31.1</w:t>
            </w:r>
          </w:p>
        </w:tc>
        <w:tc>
          <w:tcPr>
            <w:tcW w:w="4160" w:type="dxa"/>
            <w:vAlign w:val="bottom"/>
            <w:gridSpan w:val="2"/>
          </w:tcPr>
          <w:p>
            <w:pPr>
              <w:ind w:left="580"/>
              <w:spacing w:after="0"/>
              <w:rPr>
                <w:rFonts w:ascii="Arial" w:cs="Arial" w:eastAsia="Arial" w:hAnsi="Arial"/>
                <w:sz w:val="16"/>
                <w:szCs w:val="16"/>
                <w:u w:val="single" w:color="auto"/>
                <w:color w:val="0000FF"/>
                <w:w w:val="94"/>
              </w:rPr>
            </w:pPr>
            <w:hyperlink w:anchor="page103">
              <w:r>
                <w:rPr>
                  <w:rFonts w:ascii="Arial" w:cs="Arial" w:eastAsia="Arial" w:hAnsi="Arial"/>
                  <w:sz w:val="16"/>
                  <w:szCs w:val="16"/>
                  <w:u w:val="single" w:color="auto"/>
                  <w:color w:val="0000FF"/>
                  <w:w w:val="94"/>
                </w:rPr>
                <w:t>Certification of Chief Executive Officer pursuant to 18</w:t>
              </w:r>
            </w:hyperlink>
          </w:p>
        </w:tc>
        <w:tc>
          <w:tcPr>
            <w:tcW w:w="6080" w:type="dxa"/>
            <w:vAlign w:val="bottom"/>
          </w:tcPr>
          <w:p>
            <w:pPr>
              <w:jc w:val="right"/>
              <w:spacing w:after="0"/>
              <w:rPr>
                <w:rFonts w:ascii="Arial" w:cs="Arial" w:eastAsia="Arial" w:hAnsi="Arial"/>
                <w:sz w:val="16"/>
                <w:szCs w:val="16"/>
                <w:u w:val="single" w:color="auto"/>
                <w:color w:val="0000FF"/>
                <w:w w:val="91"/>
              </w:rPr>
            </w:pPr>
            <w:hyperlink w:anchor="page103">
              <w:r>
                <w:rPr>
                  <w:rFonts w:ascii="Arial" w:cs="Arial" w:eastAsia="Arial" w:hAnsi="Arial"/>
                  <w:sz w:val="16"/>
                  <w:szCs w:val="16"/>
                  <w:u w:val="single" w:color="auto"/>
                  <w:color w:val="0000FF"/>
                  <w:w w:val="91"/>
                </w:rPr>
                <w:t>U.S.C. Section 1350, as adopted pursuant to Section 302 of the Sarbanes-Oxley Act of 2002.</w:t>
              </w:r>
            </w:hyperlink>
          </w:p>
        </w:tc>
      </w:tr>
      <w:tr>
        <w:trPr>
          <w:trHeight w:val="229"/>
        </w:trPr>
        <w:tc>
          <w:tcPr>
            <w:tcW w:w="880" w:type="dxa"/>
            <w:vAlign w:val="bottom"/>
          </w:tcPr>
          <w:p>
            <w:pPr>
              <w:jc w:val="right"/>
              <w:ind w:right="519"/>
              <w:spacing w:after="0"/>
              <w:rPr>
                <w:sz w:val="20"/>
                <w:szCs w:val="20"/>
                <w:color w:val="auto"/>
              </w:rPr>
            </w:pPr>
            <w:r>
              <w:rPr>
                <w:rFonts w:ascii="Arial" w:cs="Arial" w:eastAsia="Arial" w:hAnsi="Arial"/>
                <w:sz w:val="16"/>
                <w:szCs w:val="16"/>
                <w:color w:val="auto"/>
                <w:w w:val="83"/>
              </w:rPr>
              <w:t>31.2</w:t>
            </w:r>
          </w:p>
        </w:tc>
        <w:tc>
          <w:tcPr>
            <w:tcW w:w="4120" w:type="dxa"/>
            <w:vAlign w:val="bottom"/>
          </w:tcPr>
          <w:p>
            <w:pPr>
              <w:ind w:left="580"/>
              <w:spacing w:after="0"/>
              <w:rPr>
                <w:rFonts w:ascii="Arial" w:cs="Arial" w:eastAsia="Arial" w:hAnsi="Arial"/>
                <w:sz w:val="16"/>
                <w:szCs w:val="16"/>
                <w:u w:val="single" w:color="auto"/>
                <w:color w:val="0000FF"/>
                <w:w w:val="94"/>
              </w:rPr>
            </w:pPr>
            <w:hyperlink w:anchor="page104">
              <w:r>
                <w:rPr>
                  <w:rFonts w:ascii="Arial" w:cs="Arial" w:eastAsia="Arial" w:hAnsi="Arial"/>
                  <w:sz w:val="16"/>
                  <w:szCs w:val="16"/>
                  <w:u w:val="single" w:color="auto"/>
                  <w:color w:val="0000FF"/>
                  <w:w w:val="94"/>
                </w:rPr>
                <w:t>Certification of Chief Financial Officer pursuant to 18</w:t>
              </w:r>
            </w:hyperlink>
          </w:p>
        </w:tc>
        <w:tc>
          <w:tcPr>
            <w:tcW w:w="6120" w:type="dxa"/>
            <w:vAlign w:val="bottom"/>
            <w:gridSpan w:val="2"/>
          </w:tcPr>
          <w:p>
            <w:pPr>
              <w:jc w:val="right"/>
              <w:spacing w:after="0"/>
              <w:rPr>
                <w:rFonts w:ascii="Arial" w:cs="Arial" w:eastAsia="Arial" w:hAnsi="Arial"/>
                <w:sz w:val="16"/>
                <w:szCs w:val="16"/>
                <w:color w:val="0000FF"/>
                <w:w w:val="91"/>
              </w:rPr>
            </w:pPr>
            <w:hyperlink w:anchor="page104">
              <w:r>
                <w:rPr>
                  <w:rFonts w:ascii="Arial" w:cs="Arial" w:eastAsia="Arial" w:hAnsi="Arial"/>
                  <w:sz w:val="16"/>
                  <w:szCs w:val="16"/>
                  <w:u w:val="single" w:color="auto"/>
                  <w:color w:val="0000FF"/>
                  <w:w w:val="91"/>
                </w:rPr>
                <w:t>U.S.C. Section 1350, as adopted pursuant to Section 302 of the Sarbanes-Oxley Act of 2002</w:t>
              </w:r>
              <w:r>
                <w:rPr>
                  <w:rFonts w:ascii="Arial" w:cs="Arial" w:eastAsia="Arial" w:hAnsi="Arial"/>
                  <w:sz w:val="16"/>
                  <w:szCs w:val="16"/>
                  <w:color w:val="0000FF"/>
                  <w:w w:val="91"/>
                </w:rPr>
                <w:t>.</w:t>
              </w:r>
            </w:hyperlink>
          </w:p>
        </w:tc>
      </w:tr>
      <w:tr>
        <w:trPr>
          <w:trHeight w:val="216"/>
        </w:trPr>
        <w:tc>
          <w:tcPr>
            <w:tcW w:w="880" w:type="dxa"/>
            <w:vAlign w:val="bottom"/>
          </w:tcPr>
          <w:p>
            <w:pPr>
              <w:jc w:val="right"/>
              <w:ind w:right="519"/>
              <w:spacing w:after="0"/>
              <w:rPr>
                <w:sz w:val="20"/>
                <w:szCs w:val="20"/>
                <w:color w:val="auto"/>
              </w:rPr>
            </w:pPr>
            <w:r>
              <w:rPr>
                <w:rFonts w:ascii="Arial" w:cs="Arial" w:eastAsia="Arial" w:hAnsi="Arial"/>
                <w:sz w:val="16"/>
                <w:szCs w:val="16"/>
                <w:color w:val="auto"/>
                <w:w w:val="83"/>
              </w:rPr>
              <w:t>32.1</w:t>
            </w:r>
          </w:p>
        </w:tc>
        <w:tc>
          <w:tcPr>
            <w:tcW w:w="4160" w:type="dxa"/>
            <w:vAlign w:val="bottom"/>
            <w:gridSpan w:val="2"/>
          </w:tcPr>
          <w:p>
            <w:pPr>
              <w:ind w:left="580"/>
              <w:spacing w:after="0"/>
              <w:rPr>
                <w:rFonts w:ascii="Arial" w:cs="Arial" w:eastAsia="Arial" w:hAnsi="Arial"/>
                <w:sz w:val="16"/>
                <w:szCs w:val="16"/>
                <w:u w:val="single" w:color="auto"/>
                <w:color w:val="0000FF"/>
                <w:w w:val="94"/>
              </w:rPr>
            </w:pPr>
            <w:hyperlink w:anchor="page105">
              <w:r>
                <w:rPr>
                  <w:rFonts w:ascii="Arial" w:cs="Arial" w:eastAsia="Arial" w:hAnsi="Arial"/>
                  <w:sz w:val="16"/>
                  <w:szCs w:val="16"/>
                  <w:u w:val="single" w:color="auto"/>
                  <w:color w:val="0000FF"/>
                  <w:w w:val="94"/>
                </w:rPr>
                <w:t>Certification of Chief Executive Officer pursuant to 18</w:t>
              </w:r>
            </w:hyperlink>
          </w:p>
        </w:tc>
        <w:tc>
          <w:tcPr>
            <w:tcW w:w="6080" w:type="dxa"/>
            <w:vAlign w:val="bottom"/>
          </w:tcPr>
          <w:p>
            <w:pPr>
              <w:jc w:val="right"/>
              <w:spacing w:after="0"/>
              <w:rPr>
                <w:rFonts w:ascii="Arial" w:cs="Arial" w:eastAsia="Arial" w:hAnsi="Arial"/>
                <w:sz w:val="16"/>
                <w:szCs w:val="16"/>
                <w:u w:val="single" w:color="auto"/>
                <w:color w:val="0000FF"/>
                <w:w w:val="91"/>
              </w:rPr>
            </w:pPr>
            <w:hyperlink w:anchor="page105">
              <w:r>
                <w:rPr>
                  <w:rFonts w:ascii="Arial" w:cs="Arial" w:eastAsia="Arial" w:hAnsi="Arial"/>
                  <w:sz w:val="16"/>
                  <w:szCs w:val="16"/>
                  <w:u w:val="single" w:color="auto"/>
                  <w:color w:val="0000FF"/>
                  <w:w w:val="91"/>
                </w:rPr>
                <w:t>U.S. C. Section 1350, as adopted pursuant to Section 906 of the Sarbanes-Oxley Act of 2002.</w:t>
              </w:r>
            </w:hyperlink>
          </w:p>
        </w:tc>
      </w:tr>
      <w:tr>
        <w:trPr>
          <w:trHeight w:val="216"/>
        </w:trPr>
        <w:tc>
          <w:tcPr>
            <w:tcW w:w="880" w:type="dxa"/>
            <w:vAlign w:val="bottom"/>
          </w:tcPr>
          <w:p>
            <w:pPr>
              <w:jc w:val="right"/>
              <w:ind w:right="519"/>
              <w:spacing w:after="0"/>
              <w:rPr>
                <w:sz w:val="20"/>
                <w:szCs w:val="20"/>
                <w:color w:val="auto"/>
              </w:rPr>
            </w:pPr>
            <w:r>
              <w:rPr>
                <w:rFonts w:ascii="Arial" w:cs="Arial" w:eastAsia="Arial" w:hAnsi="Arial"/>
                <w:sz w:val="16"/>
                <w:szCs w:val="16"/>
                <w:color w:val="auto"/>
                <w:w w:val="83"/>
              </w:rPr>
              <w:t>32.2</w:t>
            </w:r>
          </w:p>
        </w:tc>
        <w:tc>
          <w:tcPr>
            <w:tcW w:w="4120" w:type="dxa"/>
            <w:vAlign w:val="bottom"/>
          </w:tcPr>
          <w:p>
            <w:pPr>
              <w:ind w:left="580"/>
              <w:spacing w:after="0"/>
              <w:rPr>
                <w:rFonts w:ascii="Arial" w:cs="Arial" w:eastAsia="Arial" w:hAnsi="Arial"/>
                <w:sz w:val="16"/>
                <w:szCs w:val="16"/>
                <w:u w:val="single" w:color="auto"/>
                <w:color w:val="0000FF"/>
                <w:w w:val="94"/>
              </w:rPr>
            </w:pPr>
            <w:hyperlink w:anchor="page106">
              <w:r>
                <w:rPr>
                  <w:rFonts w:ascii="Arial" w:cs="Arial" w:eastAsia="Arial" w:hAnsi="Arial"/>
                  <w:sz w:val="16"/>
                  <w:szCs w:val="16"/>
                  <w:u w:val="single" w:color="auto"/>
                  <w:color w:val="0000FF"/>
                  <w:w w:val="94"/>
                </w:rPr>
                <w:t>Certification of Chief Financial Officer pursuant to 18</w:t>
              </w:r>
            </w:hyperlink>
          </w:p>
        </w:tc>
        <w:tc>
          <w:tcPr>
            <w:tcW w:w="6120" w:type="dxa"/>
            <w:vAlign w:val="bottom"/>
            <w:gridSpan w:val="2"/>
          </w:tcPr>
          <w:p>
            <w:pPr>
              <w:jc w:val="right"/>
              <w:spacing w:after="0"/>
              <w:rPr>
                <w:rFonts w:ascii="Arial" w:cs="Arial" w:eastAsia="Arial" w:hAnsi="Arial"/>
                <w:sz w:val="16"/>
                <w:szCs w:val="16"/>
                <w:color w:val="0000FF"/>
                <w:w w:val="91"/>
              </w:rPr>
            </w:pPr>
            <w:hyperlink w:anchor="page106">
              <w:r>
                <w:rPr>
                  <w:rFonts w:ascii="Arial" w:cs="Arial" w:eastAsia="Arial" w:hAnsi="Arial"/>
                  <w:sz w:val="16"/>
                  <w:szCs w:val="16"/>
                  <w:u w:val="single" w:color="auto"/>
                  <w:color w:val="0000FF"/>
                  <w:w w:val="91"/>
                </w:rPr>
                <w:t>U.S. C. Section 1350, as adopted pursuant to Section 906 of the Sarbanes-Oxley Act of 2002</w:t>
              </w:r>
              <w:r>
                <w:rPr>
                  <w:rFonts w:ascii="Arial" w:cs="Arial" w:eastAsia="Arial" w:hAnsi="Arial"/>
                  <w:sz w:val="16"/>
                  <w:szCs w:val="16"/>
                  <w:color w:val="0000FF"/>
                  <w:w w:val="91"/>
                </w:rPr>
                <w:t>.</w:t>
              </w:r>
            </w:hyperlink>
          </w:p>
        </w:tc>
      </w:tr>
    </w:tbl>
    <w:p>
      <w:pPr>
        <w:spacing w:after="0" w:line="10" w:lineRule="exact"/>
        <w:rPr>
          <w:sz w:val="20"/>
          <w:szCs w:val="20"/>
          <w:color w:val="auto"/>
        </w:rPr>
      </w:pPr>
    </w:p>
    <w:p>
      <w:pPr>
        <w:jc w:val="both"/>
        <w:ind w:left="1500" w:hanging="1454"/>
        <w:spacing w:after="0" w:line="222" w:lineRule="auto"/>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Form 10-K for the fiscal year ended December 31, 2020, formatted in XBRL (Extensible Business Reporting Language): (i) Consolidated Statements of Comprehensive Income (Loss) for the fiscal years ended December 31, 2020, 2019 and 2018, (ii) Consolidated Balance Sheets as of December 31, 2020 and 2019, (iii) Consolidated Statements of Stockholders’ Equity for the fiscal years ended December 31, 2020, 2019 and 2018, (iv) Consolidated Statements of Cash Flows for the fiscal years ended December 31, 2020, 2019 and 2018, and (v) Notes to Consolidated Financial Statements.</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020" w:type="dxa"/>
            <w:vAlign w:val="bottom"/>
          </w:tcPr>
          <w:p>
            <w:pPr>
              <w:ind w:left="20"/>
              <w:spacing w:after="0"/>
              <w:rPr>
                <w:sz w:val="20"/>
                <w:szCs w:val="20"/>
                <w:color w:val="auto"/>
              </w:rPr>
            </w:pPr>
            <w:r>
              <w:rPr>
                <w:rFonts w:ascii="Arial" w:cs="Arial" w:eastAsia="Arial" w:hAnsi="Arial"/>
                <w:sz w:val="16"/>
                <w:szCs w:val="16"/>
                <w:color w:val="auto"/>
              </w:rPr>
              <w:t>101.INS</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Instance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101.SCH</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101.CAL</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101.DEF</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101.LAB</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Taxonomy Extension Labels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101.PRE</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0140" w:type="dxa"/>
            <w:vAlign w:val="bottom"/>
          </w:tcPr>
          <w:p>
            <w:pPr>
              <w:ind w:left="460"/>
              <w:spacing w:after="0"/>
              <w:rPr>
                <w:sz w:val="20"/>
                <w:szCs w:val="20"/>
                <w:color w:val="auto"/>
              </w:rPr>
            </w:pPr>
            <w:r>
              <w:rPr>
                <w:rFonts w:ascii="Arial" w:cs="Arial" w:eastAsia="Arial" w:hAnsi="Arial"/>
                <w:sz w:val="16"/>
                <w:szCs w:val="16"/>
                <w:color w:val="auto"/>
              </w:rPr>
              <w:t>XBRL Formatted Cover Page</w:t>
            </w:r>
          </w:p>
        </w:tc>
      </w:tr>
      <w:tr>
        <w:trPr>
          <w:trHeight w:val="343"/>
        </w:trPr>
        <w:tc>
          <w:tcPr>
            <w:tcW w:w="1020" w:type="dxa"/>
            <w:vAlign w:val="bottom"/>
          </w:tcPr>
          <w:p>
            <w:pPr>
              <w:spacing w:after="0"/>
              <w:rPr>
                <w:sz w:val="20"/>
                <w:szCs w:val="20"/>
                <w:color w:val="auto"/>
              </w:rPr>
            </w:pPr>
            <w:r>
              <w:rPr>
                <w:rFonts w:ascii="Arial" w:cs="Arial" w:eastAsia="Arial" w:hAnsi="Arial"/>
                <w:sz w:val="18"/>
                <w:szCs w:val="18"/>
                <w:color w:val="auto"/>
              </w:rPr>
              <w:t>†</w:t>
            </w:r>
          </w:p>
        </w:tc>
        <w:tc>
          <w:tcPr>
            <w:tcW w:w="10140" w:type="dxa"/>
            <w:vAlign w:val="bottom"/>
          </w:tcPr>
          <w:p>
            <w:pPr>
              <w:ind w:left="400"/>
              <w:spacing w:after="0"/>
              <w:rPr>
                <w:sz w:val="20"/>
                <w:szCs w:val="20"/>
                <w:color w:val="auto"/>
              </w:rPr>
            </w:pPr>
            <w:r>
              <w:rPr>
                <w:rFonts w:ascii="Arial" w:cs="Arial" w:eastAsia="Arial" w:hAnsi="Arial"/>
                <w:sz w:val="16"/>
                <w:szCs w:val="16"/>
                <w:color w:val="auto"/>
              </w:rPr>
              <w:t>Designates the Company’s management contracts or compensatory plan or arrangement.</w:t>
            </w:r>
          </w:p>
        </w:tc>
      </w:tr>
      <w:tr>
        <w:trPr>
          <w:trHeight w:val="166"/>
        </w:trPr>
        <w:tc>
          <w:tcPr>
            <w:tcW w:w="102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10140" w:type="dxa"/>
            <w:vAlign w:val="bottom"/>
          </w:tcPr>
          <w:p>
            <w:pPr>
              <w:ind w:left="400"/>
              <w:spacing w:after="0" w:line="166" w:lineRule="exact"/>
              <w:rPr>
                <w:sz w:val="20"/>
                <w:szCs w:val="20"/>
                <w:color w:val="auto"/>
              </w:rPr>
            </w:pPr>
            <w:r>
              <w:rPr>
                <w:rFonts w:ascii="Arial" w:cs="Arial" w:eastAsia="Arial" w:hAnsi="Arial"/>
                <w:sz w:val="16"/>
                <w:szCs w:val="16"/>
                <w:color w:val="auto"/>
                <w:w w:val="92"/>
              </w:rPr>
              <w:t>Certain schedules attached to the Agreement and Plan of Merger have been omitted pursuant to Item 601(b)(2) of Regulation S-K. The Company will</w:t>
            </w:r>
          </w:p>
        </w:tc>
      </w:tr>
      <w:tr>
        <w:trPr>
          <w:trHeight w:val="206"/>
        </w:trPr>
        <w:tc>
          <w:tcPr>
            <w:tcW w:w="1020" w:type="dxa"/>
            <w:vAlign w:val="bottom"/>
          </w:tcPr>
          <w:p>
            <w:pPr>
              <w:spacing w:after="0"/>
              <w:rPr>
                <w:sz w:val="17"/>
                <w:szCs w:val="17"/>
                <w:color w:val="auto"/>
              </w:rPr>
            </w:pPr>
          </w:p>
        </w:tc>
        <w:tc>
          <w:tcPr>
            <w:tcW w:w="10140" w:type="dxa"/>
            <w:vAlign w:val="bottom"/>
          </w:tcPr>
          <w:p>
            <w:pPr>
              <w:ind w:left="400"/>
              <w:spacing w:after="0"/>
              <w:rPr>
                <w:sz w:val="20"/>
                <w:szCs w:val="20"/>
                <w:color w:val="auto"/>
              </w:rPr>
            </w:pPr>
            <w:r>
              <w:rPr>
                <w:rFonts w:ascii="Arial" w:cs="Arial" w:eastAsia="Arial" w:hAnsi="Arial"/>
                <w:sz w:val="16"/>
                <w:szCs w:val="16"/>
                <w:color w:val="auto"/>
              </w:rPr>
              <w:t>furnish copies of the omitted schedules to the Securities and Exchange Commission upon request by the Commission.</w:t>
            </w:r>
          </w:p>
        </w:tc>
      </w:tr>
    </w:tbl>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00" w:firstLine="324"/>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March 11, 2021.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OPTION CARE HEALTH, INC.</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 Michael Shapiro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Shapiro</w:t>
      </w:r>
    </w:p>
    <w:p>
      <w:pPr>
        <w:spacing w:after="0" w:line="184"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Chief Financial Officer and Senior Vice President (Principal Financial Officer and Duly Authorized Officer)</w:t>
      </w:r>
    </w:p>
    <w:p>
      <w:pPr>
        <w:spacing w:after="0" w:line="20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9"/>
              </w:rPr>
              <w:t>Signature</w:t>
            </w:r>
          </w:p>
        </w:tc>
        <w:tc>
          <w:tcPr>
            <w:tcW w:w="2640" w:type="dxa"/>
            <w:vAlign w:val="bottom"/>
            <w:gridSpan w:val="13"/>
          </w:tcPr>
          <w:p>
            <w:pPr>
              <w:spacing w:after="0"/>
              <w:rPr>
                <w:sz w:val="17"/>
                <w:szCs w:val="17"/>
                <w:color w:val="auto"/>
              </w:rPr>
            </w:pPr>
          </w:p>
        </w:tc>
        <w:tc>
          <w:tcPr>
            <w:tcW w:w="2980" w:type="dxa"/>
            <w:vAlign w:val="bottom"/>
          </w:tcPr>
          <w:p>
            <w:pPr>
              <w:spacing w:after="0"/>
              <w:rPr>
                <w:sz w:val="17"/>
                <w:szCs w:val="17"/>
                <w:color w:val="auto"/>
              </w:rPr>
            </w:pPr>
          </w:p>
        </w:tc>
        <w:tc>
          <w:tcPr>
            <w:tcW w:w="2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91"/>
              </w:rPr>
              <w:t>Title(s)</w:t>
            </w:r>
          </w:p>
        </w:tc>
        <w:tc>
          <w:tcPr>
            <w:tcW w:w="84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3400" w:type="dxa"/>
            <w:vAlign w:val="bottom"/>
            <w:gridSpan w:val="15"/>
          </w:tcPr>
          <w:p>
            <w:pPr>
              <w:spacing w:after="0"/>
              <w:rPr>
                <w:sz w:val="20"/>
                <w:szCs w:val="20"/>
                <w:color w:val="auto"/>
              </w:rPr>
            </w:pPr>
            <w:r>
              <w:rPr>
                <w:rFonts w:ascii="Arial" w:cs="Arial" w:eastAsia="Arial" w:hAnsi="Arial"/>
                <w:sz w:val="18"/>
                <w:szCs w:val="18"/>
                <w:color w:val="auto"/>
              </w:rPr>
              <w:t>/s/ John C. Rademacher</w:t>
            </w: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Chief Executive Officer, President and 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60" w:type="dxa"/>
            <w:vAlign w:val="bottom"/>
          </w:tcPr>
          <w:p>
            <w:pPr>
              <w:spacing w:after="0"/>
              <w:rPr>
                <w:sz w:val="19"/>
                <w:szCs w:val="19"/>
                <w:color w:val="auto"/>
              </w:rPr>
            </w:pPr>
          </w:p>
        </w:tc>
        <w:tc>
          <w:tcPr>
            <w:tcW w:w="16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w w:val="96"/>
              </w:rPr>
              <w:t>John C. Rademacher</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(Principal Executive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Michael Shapiro</w:t>
            </w: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Chief Financial Officer and Senior Vice President</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60" w:type="dxa"/>
            <w:vAlign w:val="bottom"/>
          </w:tcPr>
          <w:p>
            <w:pPr>
              <w:spacing w:after="0"/>
              <w:rPr>
                <w:sz w:val="19"/>
                <w:szCs w:val="19"/>
                <w:color w:val="auto"/>
              </w:rPr>
            </w:pPr>
          </w:p>
        </w:tc>
        <w:tc>
          <w:tcPr>
            <w:tcW w:w="13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Michael Shapiro</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(Principal Financial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400" w:type="dxa"/>
            <w:vAlign w:val="bottom"/>
            <w:gridSpan w:val="15"/>
          </w:tcPr>
          <w:p>
            <w:pPr>
              <w:spacing w:after="0"/>
              <w:rPr>
                <w:sz w:val="20"/>
                <w:szCs w:val="20"/>
                <w:color w:val="auto"/>
              </w:rPr>
            </w:pPr>
            <w:r>
              <w:rPr>
                <w:rFonts w:ascii="Arial" w:cs="Arial" w:eastAsia="Arial" w:hAnsi="Arial"/>
                <w:sz w:val="18"/>
                <w:szCs w:val="18"/>
                <w:color w:val="auto"/>
              </w:rPr>
              <w:t>/s/ Robert R. Kampstra</w:t>
            </w: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Senior Vice President, Finance and Chief Accounting Officer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68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Robert R. Kampstra</w:t>
            </w:r>
          </w:p>
        </w:tc>
        <w:tc>
          <w:tcPr>
            <w:tcW w:w="6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(Principal Accounting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400" w:type="dxa"/>
            <w:vAlign w:val="bottom"/>
            <w:gridSpan w:val="15"/>
          </w:tcPr>
          <w:p>
            <w:pPr>
              <w:spacing w:after="0"/>
              <w:rPr>
                <w:sz w:val="20"/>
                <w:szCs w:val="20"/>
                <w:color w:val="auto"/>
              </w:rPr>
            </w:pPr>
            <w:r>
              <w:rPr>
                <w:rFonts w:ascii="Arial" w:cs="Arial" w:eastAsia="Arial" w:hAnsi="Arial"/>
                <w:sz w:val="18"/>
                <w:szCs w:val="18"/>
                <w:color w:val="auto"/>
              </w:rPr>
              <w:t>/s/ Harry M. Jansen Kraemer, Jr.</w:t>
            </w:r>
          </w:p>
        </w:tc>
        <w:tc>
          <w:tcPr>
            <w:tcW w:w="59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Non-Executive Chairman of the Board</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234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w w:val="98"/>
              </w:rPr>
              <w:t>Harry M. Jansen Kraemer, Jr.</w:t>
            </w:r>
          </w:p>
        </w:tc>
        <w:tc>
          <w:tcPr>
            <w:tcW w:w="10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John J. Arlotta</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2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John J. Arlotta</w:t>
            </w:r>
          </w:p>
        </w:tc>
        <w:tc>
          <w:tcPr>
            <w:tcW w:w="2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Elizabeth Q. Betten</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6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Elizabeth Q. Betten</w:t>
            </w:r>
          </w:p>
        </w:tc>
        <w:tc>
          <w:tcPr>
            <w:tcW w:w="20" w:type="dxa"/>
            <w:vAlign w:val="bottom"/>
          </w:tcPr>
          <w:p>
            <w:pPr>
              <w:spacing w:after="0"/>
              <w:rPr>
                <w:sz w:val="19"/>
                <w:szCs w:val="19"/>
                <w:color w:val="auto"/>
              </w:rPr>
            </w:pP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David W. Golding</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5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David W. Golding</w:t>
            </w:r>
          </w:p>
        </w:tc>
        <w:tc>
          <w:tcPr>
            <w:tcW w:w="120" w:type="dxa"/>
            <w:vAlign w:val="bottom"/>
            <w:gridSpan w:val="2"/>
          </w:tcPr>
          <w:p>
            <w:pPr>
              <w:spacing w:after="0"/>
              <w:rPr>
                <w:sz w:val="19"/>
                <w:szCs w:val="19"/>
                <w:color w:val="auto"/>
              </w:rPr>
            </w:pP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Alan Nielsen</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Alan Nielsen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5"/>
          </w:tcPr>
          <w:p>
            <w:pPr>
              <w:spacing w:after="0"/>
              <w:rPr>
                <w:sz w:val="19"/>
                <w:szCs w:val="19"/>
                <w:color w:val="auto"/>
              </w:rPr>
            </w:pP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400" w:type="dxa"/>
            <w:vAlign w:val="bottom"/>
            <w:gridSpan w:val="15"/>
          </w:tcPr>
          <w:p>
            <w:pPr>
              <w:spacing w:after="0"/>
              <w:rPr>
                <w:sz w:val="20"/>
                <w:szCs w:val="20"/>
                <w:color w:val="auto"/>
              </w:rPr>
            </w:pPr>
            <w:r>
              <w:rPr>
                <w:rFonts w:ascii="Arial" w:cs="Arial" w:eastAsia="Arial" w:hAnsi="Arial"/>
                <w:sz w:val="18"/>
                <w:szCs w:val="18"/>
                <w:color w:val="auto"/>
              </w:rPr>
              <w:t>/s/ R. Carter Pate</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2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 Carter Pate</w:t>
            </w:r>
          </w:p>
        </w:tc>
        <w:tc>
          <w:tcPr>
            <w:tcW w:w="420" w:type="dxa"/>
            <w:vAlign w:val="bottom"/>
            <w:gridSpan w:val="5"/>
          </w:tcPr>
          <w:p>
            <w:pPr>
              <w:spacing w:after="0"/>
              <w:rPr>
                <w:sz w:val="19"/>
                <w:szCs w:val="19"/>
                <w:color w:val="auto"/>
              </w:rPr>
            </w:pP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Nitin Sahney</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Nitin Sahney</w:t>
            </w:r>
          </w:p>
        </w:tc>
        <w:tc>
          <w:tcPr>
            <w:tcW w:w="460" w:type="dxa"/>
            <w:vAlign w:val="bottom"/>
            <w:gridSpan w:val="6"/>
          </w:tcPr>
          <w:p>
            <w:pPr>
              <w:spacing w:after="0"/>
              <w:rPr>
                <w:sz w:val="19"/>
                <w:szCs w:val="19"/>
                <w:color w:val="auto"/>
              </w:rPr>
            </w:pP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77"/>
        </w:trPr>
        <w:tc>
          <w:tcPr>
            <w:tcW w:w="3400" w:type="dxa"/>
            <w:vAlign w:val="bottom"/>
            <w:gridSpan w:val="15"/>
          </w:tcPr>
          <w:p>
            <w:pPr>
              <w:spacing w:after="0"/>
              <w:rPr>
                <w:sz w:val="20"/>
                <w:szCs w:val="20"/>
                <w:color w:val="auto"/>
              </w:rPr>
            </w:pPr>
            <w:r>
              <w:rPr>
                <w:rFonts w:ascii="Arial" w:cs="Arial" w:eastAsia="Arial" w:hAnsi="Arial"/>
                <w:sz w:val="18"/>
                <w:szCs w:val="18"/>
                <w:color w:val="auto"/>
              </w:rPr>
              <w:t>/s/ Timothy P. Sullivan</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6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Timothy P. Sullivan</w:t>
            </w:r>
          </w:p>
        </w:tc>
        <w:tc>
          <w:tcPr>
            <w:tcW w:w="1740" w:type="dxa"/>
            <w:vAlign w:val="bottom"/>
            <w:gridSpan w:val="4"/>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3400" w:type="dxa"/>
            <w:vAlign w:val="bottom"/>
            <w:gridSpan w:val="15"/>
          </w:tcPr>
          <w:p>
            <w:pPr>
              <w:spacing w:after="0"/>
              <w:rPr>
                <w:sz w:val="20"/>
                <w:szCs w:val="20"/>
                <w:color w:val="auto"/>
              </w:rPr>
            </w:pPr>
            <w:r>
              <w:rPr>
                <w:rFonts w:ascii="Arial" w:cs="Arial" w:eastAsia="Arial" w:hAnsi="Arial"/>
                <w:sz w:val="18"/>
                <w:szCs w:val="18"/>
                <w:color w:val="auto"/>
              </w:rPr>
              <w:t>/s/ Mark Vainisi</w:t>
            </w:r>
          </w:p>
        </w:tc>
        <w:tc>
          <w:tcPr>
            <w:tcW w:w="592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11, 2021</w:t>
            </w:r>
          </w:p>
        </w:tc>
      </w:tr>
      <w:tr>
        <w:trPr>
          <w:trHeight w:val="224"/>
        </w:trPr>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Mark Vainisi</w:t>
            </w:r>
          </w:p>
        </w:tc>
        <w:tc>
          <w:tcPr>
            <w:tcW w:w="2240" w:type="dxa"/>
            <w:vAlign w:val="bottom"/>
            <w:gridSpan w:val="12"/>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836"/>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jc w:val="right"/>
              <w:ind w:right="610"/>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00"/>
          </w:cols>
          <w:pgMar w:left="320" w:top="121" w:right="379" w:bottom="1440" w:gutter="0" w:footer="0" w:header="0"/>
        </w:sectPr>
      </w:pPr>
    </w:p>
    <w:bookmarkStart w:id="87" w:name="page88"/>
    <w:bookmarkEnd w:id="87"/>
    <w:p>
      <w:pPr>
        <w:ind w:left="10100"/>
        <w:spacing w:after="0"/>
        <w:rPr>
          <w:sz w:val="20"/>
          <w:szCs w:val="20"/>
          <w:color w:val="auto"/>
        </w:rPr>
      </w:pPr>
      <w:r>
        <w:rPr>
          <w:rFonts w:ascii="Arial" w:cs="Arial" w:eastAsia="Arial" w:hAnsi="Arial"/>
          <w:sz w:val="16"/>
          <w:szCs w:val="16"/>
          <w:b w:val="1"/>
          <w:bCs w:val="1"/>
          <w:color w:val="auto"/>
        </w:rPr>
        <w:t>EXHIBIT 10.12</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Executed Version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8,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Rich Denness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1600 Broadway</w:t>
      </w:r>
    </w:p>
    <w:p>
      <w:pPr>
        <w:spacing w:after="0" w:line="234" w:lineRule="auto"/>
        <w:rPr>
          <w:sz w:val="20"/>
          <w:szCs w:val="20"/>
          <w:color w:val="auto"/>
        </w:rPr>
      </w:pPr>
      <w:r>
        <w:rPr>
          <w:rFonts w:ascii="Arial" w:cs="Arial" w:eastAsia="Arial" w:hAnsi="Arial"/>
          <w:sz w:val="18"/>
          <w:szCs w:val="18"/>
          <w:color w:val="auto"/>
        </w:rPr>
        <w:t>Suite 700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Denver, CO 80202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Rich,</w:t>
      </w:r>
    </w:p>
    <w:p>
      <w:pPr>
        <w:spacing w:after="0" w:line="221"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 xml:space="preserve">We are pleased to offer you the position of </w:t>
      </w:r>
      <w:r>
        <w:rPr>
          <w:rFonts w:ascii="Arial" w:cs="Arial" w:eastAsia="Arial" w:hAnsi="Arial"/>
          <w:sz w:val="17"/>
          <w:szCs w:val="17"/>
          <w:b w:val="1"/>
          <w:bCs w:val="1"/>
          <w:color w:val="auto"/>
        </w:rPr>
        <w:t>Chief Strategy Officer</w:t>
      </w:r>
      <w:r>
        <w:rPr>
          <w:rFonts w:ascii="Arial" w:cs="Arial" w:eastAsia="Arial" w:hAnsi="Arial"/>
          <w:sz w:val="17"/>
          <w:szCs w:val="17"/>
          <w:color w:val="auto"/>
        </w:rPr>
        <w:t xml:space="preserve"> at Option Care Enterprises, under the management of John Rademacher, the Chief Executive Officer, following the closing of the combination of Option Care Enterprises and BioScrip (the "Merger"). This offer is conditioned upon the Merger and you would start in this position effective upon the completion of the Merger. Below are the terms of our offer: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Your salary will be</w:t>
      </w:r>
      <w:r>
        <w:rPr>
          <w:rFonts w:ascii="Arial" w:cs="Arial" w:eastAsia="Arial" w:hAnsi="Arial"/>
          <w:sz w:val="18"/>
          <w:szCs w:val="18"/>
          <w:b w:val="1"/>
          <w:bCs w:val="1"/>
          <w:color w:val="auto"/>
        </w:rPr>
        <w:t xml:space="preserve"> $360,000 </w:t>
      </w:r>
      <w:r>
        <w:rPr>
          <w:rFonts w:ascii="Arial" w:cs="Arial" w:eastAsia="Arial" w:hAnsi="Arial"/>
          <w:sz w:val="18"/>
          <w:szCs w:val="18"/>
          <w:color w:val="auto"/>
        </w:rPr>
        <w:t>less all applicable tax withholdings and benefit deduction s.</w:t>
      </w:r>
    </w:p>
    <w:p>
      <w:pPr>
        <w:spacing w:after="0" w:line="234" w:lineRule="auto"/>
        <w:rPr>
          <w:sz w:val="20"/>
          <w:szCs w:val="20"/>
          <w:color w:val="auto"/>
        </w:rPr>
      </w:pPr>
      <w:r>
        <w:rPr>
          <w:rFonts w:ascii="Arial" w:cs="Arial" w:eastAsia="Arial" w:hAnsi="Arial"/>
          <w:sz w:val="17"/>
          <w:szCs w:val="17"/>
          <w:color w:val="auto"/>
        </w:rPr>
        <w:t>Annual Bonus Target: Your annual incentive opportunity for the portion of the 2019 plan year prior to the Merger will be paid pursuant to the merger</w:t>
      </w:r>
    </w:p>
    <w:p>
      <w:pPr>
        <w:spacing w:after="0"/>
        <w:rPr>
          <w:sz w:val="20"/>
          <w:szCs w:val="20"/>
          <w:color w:val="auto"/>
        </w:rPr>
      </w:pPr>
      <w:r>
        <w:rPr>
          <w:rFonts w:ascii="Arial" w:cs="Arial" w:eastAsia="Arial" w:hAnsi="Arial"/>
          <w:sz w:val="16"/>
          <w:szCs w:val="16"/>
          <w:color w:val="auto"/>
        </w:rPr>
        <w:t>agreement. Beginning with the portion of the 2019 fiscal year following the Merger, you will be eligible for an annual bonus target of 75% of base salary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$270,000</w:t>
      </w:r>
      <w:r>
        <w:rPr>
          <w:rFonts w:ascii="Arial" w:cs="Arial" w:eastAsia="Arial" w:hAnsi="Arial"/>
          <w:sz w:val="16"/>
          <w:szCs w:val="16"/>
          <w:color w:val="auto"/>
        </w:rPr>
        <w:t>), prorated based on your official start date, and on the same criteria as other senior executives of Option Care. These terms will be evaluated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determined by the Compensation Committee after the Merger.</w:t>
      </w:r>
    </w:p>
    <w:p>
      <w:pPr>
        <w:spacing w:after="0" w:line="205"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Assuming the merger between Option Care and BioScrip is finalized, at the first Compensation Committee Meeting after the close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 you will be awarded a Long Term Incentive (LTI) equity grant consisting of time-vesting Restricted Stock Units with respect to number of shares of common stock of BioScrip Inc. having a value of </w:t>
      </w:r>
      <w:r>
        <w:rPr>
          <w:rFonts w:ascii="Arial" w:cs="Arial" w:eastAsia="Arial" w:hAnsi="Arial"/>
          <w:sz w:val="18"/>
          <w:szCs w:val="18"/>
          <w:b w:val="1"/>
          <w:bCs w:val="1"/>
          <w:color w:val="auto"/>
        </w:rPr>
        <w:t>$250,000</w:t>
      </w:r>
      <w:r>
        <w:rPr>
          <w:rFonts w:ascii="Arial" w:cs="Arial" w:eastAsia="Arial" w:hAnsi="Arial"/>
          <w:sz w:val="18"/>
          <w:szCs w:val="18"/>
          <w:color w:val="auto"/>
        </w:rPr>
        <w:t xml:space="preserve"> at the time of grant (the "Sign-on Award"). Your Sign-on Award will fully vest on the first anniversary of the Merger, subject to continued employment through such date or earlier termination of your employment by Option Care without Cause, your resignation with Good Reason, or following your death or Disability (each as defined in the long-term incentive plan documents). If you voluntarily resign from the Company without Good Reason prior to the one-year anniversary of the deal closing or are terminated for Cause, the RSUs would be forfeited.</w:t>
      </w:r>
    </w:p>
    <w:p>
      <w:pPr>
        <w:spacing w:after="0" w:line="206"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Going forward, the Compensation Committee will evaluate the appropriate LTI awards and terms to align and integrate the combined business and incent the Executive Team, and therefore, at this time, there is no guarantee of minimum future grant size, incentive components or vesting terms provided, however, that to the extent any such going-forward equity or equity-based awards are granted to the Executive Team, you shall participate at the time or times, in the amounts and/or at levels, and under terms and conditions, in each case substantially commensurate with those provided to such other members of the Executive Team.</w:t>
      </w:r>
    </w:p>
    <w:p>
      <w:pPr>
        <w:spacing w:after="0" w:line="201" w:lineRule="exact"/>
        <w:rPr>
          <w:sz w:val="20"/>
          <w:szCs w:val="20"/>
          <w:color w:val="auto"/>
        </w:rPr>
      </w:pPr>
    </w:p>
    <w:p>
      <w:pPr>
        <w:jc w:val="both"/>
        <w:ind w:right="200"/>
        <w:spacing w:after="0" w:line="255" w:lineRule="auto"/>
        <w:rPr>
          <w:sz w:val="20"/>
          <w:szCs w:val="20"/>
          <w:color w:val="auto"/>
        </w:rPr>
      </w:pPr>
      <w:r>
        <w:rPr>
          <w:rFonts w:ascii="Arial" w:cs="Arial" w:eastAsia="Arial" w:hAnsi="Arial"/>
          <w:sz w:val="16"/>
          <w:szCs w:val="16"/>
          <w:b w:val="1"/>
          <w:bCs w:val="1"/>
          <w:color w:val="auto"/>
        </w:rPr>
        <w:t xml:space="preserve">Change in Control and "Good Reason" Severance Protections: </w:t>
      </w:r>
      <w:r>
        <w:rPr>
          <w:rFonts w:ascii="Arial" w:cs="Arial" w:eastAsia="Arial" w:hAnsi="Arial"/>
          <w:sz w:val="16"/>
          <w:szCs w:val="16"/>
          <w:color w:val="auto"/>
        </w:rPr>
        <w:t>You will receive a cash Retention Bonus equal to</w:t>
      </w:r>
      <w:r>
        <w:rPr>
          <w:rFonts w:ascii="Arial" w:cs="Arial" w:eastAsia="Arial" w:hAnsi="Arial"/>
          <w:sz w:val="16"/>
          <w:szCs w:val="16"/>
          <w:b w:val="1"/>
          <w:bCs w:val="1"/>
          <w:color w:val="auto"/>
        </w:rPr>
        <w:t xml:space="preserve"> $648,000 </w:t>
      </w:r>
      <w:r>
        <w:rPr>
          <w:rFonts w:ascii="Arial" w:cs="Arial" w:eastAsia="Arial" w:hAnsi="Arial"/>
          <w:sz w:val="16"/>
          <w:szCs w:val="16"/>
          <w:color w:val="auto"/>
        </w:rPr>
        <w:t>on the first anniversary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if you are employed on such date, or experience an involuntary termination (i.e., termination by Option Care without Cause, resignation with Good Reason, death/ disability). The Retention Bonus will be forfeited if you voluntarily resign from employment other than with Good Reason.</w:t>
      </w:r>
    </w:p>
    <w:p>
      <w:pPr>
        <w:spacing w:after="0" w:line="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Notwithstanding the forgoing, in the event of a change in control (for the purposes of the equity incentive plan of the Company) prior to the first anniversary of the Merger, the Retention Bonus will be paid out in full within 30 days of the change of control. Eligibility to receive the Retention Bonus is expressly conditioned upon your waiver of any right to receive severance payments or benefits under the Offer Letter and the Severance Agreement attached thereto (as modified from time to time, including the addendum on June 11, 2018).</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"Good Reason " shall mean a resignation of your employment with Option Care following (a) a reduction in base salary, (b) material diminution in duties, responsibilities, or authorities from the Chief Strategy Officer role, (c) a change in title from the Chief Strategy Officer title, (d) a requirement to change primary work location outside of your home office, or (e) no longer reporting to the CEO, provided that you give notice to Option Care of your resignation with Good Reason within 30 days of any such event, Option Care fails to cure such events within 10 days of such notice, and your resignation is effective immediately upon such failure to cure.</w:t>
      </w:r>
    </w:p>
    <w:p>
      <w:pPr>
        <w:spacing w:after="0" w:line="20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Additionally, upon your termination of employment by the Company without Cause, but not due to death or Disability, at any time following the first anniversary of the Merger, subject to your execution and non-revocation of the Company' s standard release of claims within forty-five (45) days of such termination, you will be entitled to the sum of (a) your annual base salary, plus (b) a pro rata bonus for the fiscal year in which such termination occurs, which sum shall be payable in accordance with the normal payroll process, until 12 months from the date of such termination, and (c) should you choose to elect COBRA coverage for any Company Group Health Plan coverage you have with the Company at the time of termination, the Company will subsidize a portion of your medical premium for twelve (12) months, in order to continue healthcare coverage at active employee rates, provided you make timely premium payments and maintain your cover age.</w:t>
      </w:r>
    </w:p>
    <w:p>
      <w:pPr>
        <w:spacing w:after="0" w:line="5"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"Cause" shall mean any of the following: (a) your gross negligence, insubordination, or intentional misconduct in connection with the performance of your job duties, (b) your conviction of, or plea of guilty or nolo contendere to, any felony or crime</w:t>
      </w:r>
    </w:p>
    <w:p>
      <w:pPr>
        <w:sectPr>
          <w:pgSz w:w="11900" w:h="16838" w:orient="portrait"/>
          <w:cols w:equalWidth="0" w:num="1">
            <w:col w:w="11240"/>
          </w:cols>
          <w:pgMar w:left="320" w:top="895" w:right="339" w:bottom="1440" w:gutter="0" w:footer="0" w:header="0"/>
        </w:sectPr>
      </w:pPr>
    </w:p>
    <w:bookmarkStart w:id="88" w:name="page89"/>
    <w:bookmarkEnd w:id="88"/>
    <w:p>
      <w:pPr>
        <w:ind w:right="160"/>
        <w:spacing w:after="0" w:line="228" w:lineRule="auto"/>
        <w:rPr>
          <w:sz w:val="20"/>
          <w:szCs w:val="20"/>
          <w:color w:val="auto"/>
        </w:rPr>
      </w:pPr>
      <w:r>
        <w:rPr>
          <w:rFonts w:ascii="Arial" w:cs="Arial" w:eastAsia="Arial" w:hAnsi="Arial"/>
          <w:sz w:val="18"/>
          <w:szCs w:val="18"/>
          <w:color w:val="auto"/>
        </w:rPr>
        <w:t>involving moral turpitude, (c) your violation of Option Care' s substance abuse policy, (d) your breach of any material provision of this or any other agreement between you and Option Care (or prior to the merger with BioScrip), which breach is not cured within 30 days following written notice of the breach by the Company, or (e) your intentional or willful violation of any rule or regulation of any government agency, or self regulatory body, applicable to Option Care' s business. For the avoidance of doubt, this definition of "Cause" will not apply to any other post-Merger equity or other compensation arrangements entered into or offered by Option Care.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"Disability" shall have the meaning set forth in the Company's then-current long-term disability benefit program.</w:t>
      </w:r>
    </w:p>
    <w:p>
      <w:pPr>
        <w:ind w:right="160"/>
        <w:spacing w:after="0" w:line="266"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You will continue to be eligible to participate in such Company employee benefit plans and policies, and to receive such other fringe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as the Company may in its discretion make available to its employees generally, subject to all present and future terms and conditions of such benefit plans and other fringe benefits. These plans and benefits may change at any time, for any reason, with or without notice, by the Company.</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intent of the parties is that payments and benefits under this offer letter comply with, or be exempt from, Internal Revenue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and the regulations and guidance promulgated thereunder (collectively "Code Section 409A") and, accordingly, to the maximum extent permitted, this offer letter shall be interpreted to be in compliance therewith. Each payment under this letter shall be treated as a separate payment for purposes of Code Section 409A. A termination of employment shall not be deemed to have occurred for purposes of any provision of this Agreement providing for the payment of any amount or benefit that constitutes "nonqualified deferred compensation" upon or following a termination of employment unless such termination is also a "separation from service" within the meaning of Code Section 409A and, for purposes of any such provision of this offer letter, references to a "termination," "termination of employment" or like terms shall mean "separation from service." Notwithstanding anything to the contrary in this Agreement, if on the date of termination you are deemed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w:t>
      </w:r>
    </w:p>
    <w:p>
      <w:pPr>
        <w:spacing w:after="0" w:line="1" w:lineRule="exact"/>
        <w:rPr>
          <w:sz w:val="20"/>
          <w:szCs w:val="20"/>
          <w:color w:val="auto"/>
        </w:rPr>
      </w:pPr>
    </w:p>
    <w:p>
      <w:pPr>
        <w:ind w:right="260" w:firstLine="8"/>
        <w:spacing w:after="0" w:line="237" w:lineRule="auto"/>
        <w:tabs>
          <w:tab w:leader="none" w:pos="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expiration of the six (6)-month period measured from the date of such "separation from service", and (B) the date of your death, to the extent required under Code Section 409A. Upon the expiration of the foregoing delay period, all payments and benefits delayed pursuant to this Agreement (whether they would have otherwise been payable in a single sum or in installments in the absence of such delay) shall be paid or reimbursed to you in a lump sum, and all remaining payments and benefits due under this Agreement shall be paid or provided in accordance with the normal payment dates specified for them herein. Whenever a payment under this Agreement specifies a payment period with reference to a number of days, the actual date of payment within the specified period shall be within the sole discretion of the Company.</w:t>
      </w:r>
    </w:p>
    <w:p>
      <w:pPr>
        <w:spacing w:after="0" w:line="20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This offer is not a contract of employment, but merely an explanation of the offer. Employment at Option Care Enterprises is at will, for no definite term, and is subject to Option Care's policies, which can be changed from time to time.</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If you would like to accept this offer of employment, please sign your name on the line below, fill in the date, and return the signed letter via email. Your signature will acknowledge that you have read, understood and agreed to the terms and conditions of this offer letter.</w:t>
      </w:r>
    </w:p>
    <w:p>
      <w:pPr>
        <w:spacing w:after="0" w:line="19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Rich, we believe you will make a significant contribution to the newly combined organization and help to make the new company an exciting and dynamic place to 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the opportunity to welcome you to Executive Leadership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Mike Rude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Mike Rude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Chief Human Resources Officer</w:t>
      </w:r>
    </w:p>
    <w:p>
      <w:pPr>
        <w:spacing w:after="0"/>
        <w:rPr>
          <w:sz w:val="20"/>
          <w:szCs w:val="20"/>
          <w:color w:val="auto"/>
        </w:rPr>
      </w:pPr>
      <w:r>
        <w:rPr>
          <w:rFonts w:ascii="Arial" w:cs="Arial" w:eastAsia="Arial" w:hAnsi="Arial"/>
          <w:sz w:val="18"/>
          <w:szCs w:val="18"/>
          <w:color w:val="auto"/>
        </w:rPr>
        <w:t>Mike.rude@optioncare.com</w:t>
      </w:r>
    </w:p>
    <w:p>
      <w:pPr>
        <w:spacing w:after="0" w:line="219"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b w:val="1"/>
          <w:bCs w:val="1"/>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u w:val="single" w:color="auto"/>
          <w:color w:val="auto"/>
        </w:rPr>
        <w:t>/s/ Rich Denness</w:t>
      </w:r>
      <w:r>
        <w:rPr>
          <w:rFonts w:ascii="Arial" w:cs="Arial" w:eastAsia="Arial" w:hAnsi="Arial"/>
          <w:sz w:val="16"/>
          <w:szCs w:val="16"/>
          <w:color w:val="auto"/>
        </w:rPr>
        <w:t xml:space="preserve"> Date: </w:t>
      </w:r>
      <w:r>
        <w:rPr>
          <w:rFonts w:ascii="Arial" w:cs="Arial" w:eastAsia="Arial" w:hAnsi="Arial"/>
          <w:sz w:val="16"/>
          <w:szCs w:val="16"/>
          <w:u w:val="single" w:color="auto"/>
          <w:color w:val="auto"/>
        </w:rPr>
        <w:t>June 10, 2019</w:t>
      </w:r>
    </w:p>
    <w:p>
      <w:pPr>
        <w:sectPr>
          <w:pgSz w:w="11900" w:h="16838" w:orient="portrait"/>
          <w:cols w:equalWidth="0" w:num="1">
            <w:col w:w="11240"/>
          </w:cols>
          <w:pgMar w:left="320" w:top="881" w:right="339" w:bottom="1440" w:gutter="0" w:footer="0" w:header="0"/>
        </w:sectPr>
      </w:pPr>
    </w:p>
    <w:bookmarkStart w:id="89" w:name="page90"/>
    <w:bookmarkEnd w:id="89"/>
    <w:p>
      <w:pPr>
        <w:ind w:left="9980"/>
        <w:spacing w:after="0"/>
        <w:rPr>
          <w:sz w:val="20"/>
          <w:szCs w:val="20"/>
          <w:color w:val="auto"/>
        </w:rPr>
      </w:pPr>
      <w:r>
        <w:rPr>
          <w:rFonts w:ascii="Arial" w:cs="Arial" w:eastAsia="Arial" w:hAnsi="Arial"/>
          <w:sz w:val="18"/>
          <w:szCs w:val="18"/>
          <w:b w:val="1"/>
          <w:bCs w:val="1"/>
          <w:color w:val="auto"/>
        </w:rPr>
        <w:t>EXHIBIT 10.13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Executed Version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82828"/>
        </w:rPr>
        <w:t>EMPLOYMENT AGREEMENT</w:t>
      </w:r>
    </w:p>
    <w:p>
      <w:pPr>
        <w:spacing w:after="0" w:line="20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282828"/>
        </w:rPr>
        <w:t>THIS EMPLOYMENT AGREEMENT (this "</w:t>
      </w:r>
      <w:r>
        <w:rPr>
          <w:rFonts w:ascii="Arial" w:cs="Arial" w:eastAsia="Arial" w:hAnsi="Arial"/>
          <w:sz w:val="18"/>
          <w:szCs w:val="18"/>
          <w:u w:val="single" w:color="auto"/>
          <w:color w:val="282828"/>
        </w:rPr>
        <w:t>Agreement</w:t>
      </w:r>
      <w:r>
        <w:rPr>
          <w:rFonts w:ascii="Arial" w:cs="Arial" w:eastAsia="Arial" w:hAnsi="Arial"/>
          <w:sz w:val="18"/>
          <w:szCs w:val="18"/>
          <w:color w:val="282828"/>
        </w:rPr>
        <w:t>") is made as of August 3, 2015 by and between Walgreens Infusion Services, Inc., an Illinois corporation (the "</w:t>
      </w:r>
      <w:r>
        <w:rPr>
          <w:rFonts w:ascii="Arial" w:cs="Arial" w:eastAsia="Arial" w:hAnsi="Arial"/>
          <w:sz w:val="18"/>
          <w:szCs w:val="18"/>
          <w:u w:val="single" w:color="auto"/>
          <w:color w:val="282828"/>
        </w:rPr>
        <w:t>Company</w:t>
      </w:r>
      <w:r>
        <w:rPr>
          <w:rFonts w:ascii="Arial" w:cs="Arial" w:eastAsia="Arial" w:hAnsi="Arial"/>
          <w:sz w:val="18"/>
          <w:szCs w:val="18"/>
          <w:color w:val="282828"/>
        </w:rPr>
        <w:t>"), and Cliff Berman ("</w:t>
      </w:r>
      <w:r>
        <w:rPr>
          <w:rFonts w:ascii="Arial" w:cs="Arial" w:eastAsia="Arial" w:hAnsi="Arial"/>
          <w:sz w:val="18"/>
          <w:szCs w:val="18"/>
          <w:u w:val="single" w:color="auto"/>
          <w:color w:val="282828"/>
        </w:rPr>
        <w:t>Executive</w:t>
      </w:r>
      <w:r>
        <w:rPr>
          <w:rFonts w:ascii="Arial" w:cs="Arial" w:eastAsia="Arial" w:hAnsi="Arial"/>
          <w:sz w:val="18"/>
          <w:szCs w:val="18"/>
          <w:color w:val="282828"/>
        </w:rPr>
        <w:t>").</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282828"/>
        </w:rPr>
        <w:t>In consideration of the mutual covenants contained herein and other good and valuable consideration, the receipt and sufficiency of which are hereby acknowledged, the parties hereto agree as follows:</w:t>
      </w:r>
    </w:p>
    <w:p>
      <w:pPr>
        <w:spacing w:after="0" w:line="18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282828"/>
        </w:rPr>
        <w:t xml:space="preserve">Section 1. </w:t>
      </w:r>
      <w:r>
        <w:rPr>
          <w:rFonts w:ascii="Arial" w:cs="Arial" w:eastAsia="Arial" w:hAnsi="Arial"/>
          <w:sz w:val="16"/>
          <w:szCs w:val="16"/>
          <w:u w:val="single" w:color="auto"/>
          <w:color w:val="282828"/>
        </w:rPr>
        <w:t>Employment</w:t>
      </w:r>
      <w:r>
        <w:rPr>
          <w:rFonts w:ascii="Arial" w:cs="Arial" w:eastAsia="Arial" w:hAnsi="Arial"/>
          <w:sz w:val="16"/>
          <w:szCs w:val="16"/>
          <w:color w:val="282828"/>
        </w:rPr>
        <w:t xml:space="preserve">. The Company shall employ Executive, and Executive hereby accepts employment with the Company, upon the terms and conditions set forth in this Agreement for the period beginning on the date hereof and ending as provided in </w:t>
      </w:r>
      <w:r>
        <w:rPr>
          <w:rFonts w:ascii="Arial" w:cs="Arial" w:eastAsia="Arial" w:hAnsi="Arial"/>
          <w:sz w:val="16"/>
          <w:szCs w:val="16"/>
          <w:u w:val="single" w:color="auto"/>
          <w:color w:val="282828"/>
        </w:rPr>
        <w:t>Section 4</w:t>
      </w:r>
      <w:r>
        <w:rPr>
          <w:rFonts w:ascii="Arial" w:cs="Arial" w:eastAsia="Arial" w:hAnsi="Arial"/>
          <w:sz w:val="16"/>
          <w:szCs w:val="16"/>
          <w:color w:val="282828"/>
        </w:rPr>
        <w:t xml:space="preserve"> (the "</w:t>
      </w:r>
      <w:r>
        <w:rPr>
          <w:rFonts w:ascii="Arial" w:cs="Arial" w:eastAsia="Arial" w:hAnsi="Arial"/>
          <w:sz w:val="16"/>
          <w:szCs w:val="16"/>
          <w:u w:val="single" w:color="auto"/>
          <w:color w:val="282828"/>
        </w:rPr>
        <w:t>Employment Period</w:t>
      </w:r>
      <w:r>
        <w:rPr>
          <w:rFonts w:ascii="Arial" w:cs="Arial" w:eastAsia="Arial" w:hAnsi="Arial"/>
          <w:sz w:val="16"/>
          <w:szCs w:val="16"/>
          <w:color w:val="282828"/>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 xml:space="preserve">Section 2. </w:t>
      </w:r>
      <w:r>
        <w:rPr>
          <w:rFonts w:ascii="Arial" w:cs="Arial" w:eastAsia="Arial" w:hAnsi="Arial"/>
          <w:sz w:val="18"/>
          <w:szCs w:val="18"/>
          <w:u w:val="single" w:color="auto"/>
          <w:color w:val="282828"/>
        </w:rPr>
        <w:t>Position and Duties</w:t>
      </w:r>
      <w:r>
        <w:rPr>
          <w:rFonts w:ascii="Arial" w:cs="Arial" w:eastAsia="Arial" w:hAnsi="Arial"/>
          <w:sz w:val="18"/>
          <w:szCs w:val="18"/>
          <w:color w:val="282828"/>
        </w:rPr>
        <w:t>.</w:t>
      </w:r>
    </w:p>
    <w:p>
      <w:pPr>
        <w:spacing w:after="0" w:line="225" w:lineRule="exact"/>
        <w:rPr>
          <w:sz w:val="20"/>
          <w:szCs w:val="20"/>
          <w:color w:val="auto"/>
        </w:rPr>
      </w:pPr>
    </w:p>
    <w:p>
      <w:pPr>
        <w:jc w:val="both"/>
        <w:ind w:firstLine="656"/>
        <w:spacing w:after="0" w:line="219" w:lineRule="auto"/>
        <w:tabs>
          <w:tab w:leader="none" w:pos="906" w:val="left"/>
        </w:tabs>
        <w:numPr>
          <w:ilvl w:val="0"/>
          <w:numId w:val="22"/>
        </w:numPr>
        <w:rPr>
          <w:rFonts w:ascii="Arial" w:cs="Arial" w:eastAsia="Arial" w:hAnsi="Arial"/>
          <w:sz w:val="18"/>
          <w:szCs w:val="18"/>
          <w:color w:val="282828"/>
        </w:rPr>
      </w:pPr>
      <w:r>
        <w:rPr>
          <w:rFonts w:ascii="Arial" w:cs="Arial" w:eastAsia="Arial" w:hAnsi="Arial"/>
          <w:sz w:val="18"/>
          <w:szCs w:val="18"/>
          <w:color w:val="282828"/>
        </w:rPr>
        <w:t>During the Employment Period, Executive shall serve as the Senior Vice President and General Counsel of the Company and shall have the normal duties, responsibilities, functions and authority of such position. Executive shall render such administrative, financial and other executive and managerial services to the Company Group that are consistent with Executive's position as the officer to which Executive reports or the Company's board of directors (the "</w:t>
      </w:r>
      <w:r>
        <w:rPr>
          <w:rFonts w:ascii="Arial" w:cs="Arial" w:eastAsia="Arial" w:hAnsi="Arial"/>
          <w:sz w:val="18"/>
          <w:szCs w:val="18"/>
          <w:u w:val="single" w:color="auto"/>
          <w:color w:val="282828"/>
        </w:rPr>
        <w:t>Board</w:t>
      </w:r>
      <w:r>
        <w:rPr>
          <w:rFonts w:ascii="Arial" w:cs="Arial" w:eastAsia="Arial" w:hAnsi="Arial"/>
          <w:sz w:val="18"/>
          <w:szCs w:val="18"/>
          <w:color w:val="282828"/>
        </w:rPr>
        <w:t>"), as applicable, may from time to time direct.</w:t>
      </w:r>
    </w:p>
    <w:p>
      <w:pPr>
        <w:spacing w:after="0" w:line="189" w:lineRule="exact"/>
        <w:rPr>
          <w:rFonts w:ascii="Arial" w:cs="Arial" w:eastAsia="Arial" w:hAnsi="Arial"/>
          <w:sz w:val="18"/>
          <w:szCs w:val="18"/>
          <w:color w:val="282828"/>
        </w:rPr>
      </w:pPr>
    </w:p>
    <w:p>
      <w:pPr>
        <w:jc w:val="both"/>
        <w:ind w:firstLine="656"/>
        <w:spacing w:after="0" w:line="221" w:lineRule="auto"/>
        <w:tabs>
          <w:tab w:leader="none" w:pos="906" w:val="left"/>
        </w:tabs>
        <w:numPr>
          <w:ilvl w:val="0"/>
          <w:numId w:val="22"/>
        </w:numPr>
        <w:rPr>
          <w:rFonts w:ascii="Arial" w:cs="Arial" w:eastAsia="Arial" w:hAnsi="Arial"/>
          <w:sz w:val="17"/>
          <w:szCs w:val="17"/>
          <w:color w:val="282828"/>
        </w:rPr>
      </w:pPr>
      <w:r>
        <w:rPr>
          <w:rFonts w:ascii="Arial" w:cs="Arial" w:eastAsia="Arial" w:hAnsi="Arial"/>
          <w:sz w:val="17"/>
          <w:szCs w:val="17"/>
          <w:color w:val="282828"/>
        </w:rPr>
        <w:t>During the Employment Period, Executive shall report to the Chief Executive Officer and shall devote Executive's best efforts and Executive's full business time and attention (except for permitted vacation periods and reasonable periods of illness or other incapacity) to the business and affairs of the Company Group. Executive shall perform Executive's duties, responsibilities and functions for the Company Group hereunder to the best of Executive's abilities in a diligent, trustworthy, professional and efficient manner and shall comply with the Company's and its subsidiaries' policies and procedures in all material respects. In performing Executive's duties and exercising Executive's authority under this Agreement, Executive shall support and implement the business and strategic plans approved from time to time by the Board and shall support and cooperate with the Company's and its subsidiaries' efforts to expand their businesses and operate profitably and in conformity with the business and strategic plans approved by the Board. During the Employment Period, Executive shall not serve as an officer, manager or director of, or otherwise perform services for compensation for, any other person or entity without the prior written consent of the Board; provided that Executive may serve as an officer, manager or director of, or otherwise participate in, solely charitable, educational, welfare, social, religious and civic organizations so long as such activities do not interfere with Executive's employment with the Company.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 xml:space="preserve">Section 3. </w:t>
      </w:r>
      <w:r>
        <w:rPr>
          <w:rFonts w:ascii="Arial" w:cs="Arial" w:eastAsia="Arial" w:hAnsi="Arial"/>
          <w:sz w:val="18"/>
          <w:szCs w:val="18"/>
          <w:u w:val="single" w:color="auto"/>
          <w:color w:val="282828"/>
        </w:rPr>
        <w:t>Compensation and Benefits</w:t>
      </w:r>
      <w:r>
        <w:rPr>
          <w:rFonts w:ascii="Arial" w:cs="Arial" w:eastAsia="Arial" w:hAnsi="Arial"/>
          <w:sz w:val="18"/>
          <w:szCs w:val="18"/>
          <w:color w:val="282828"/>
        </w:rPr>
        <w:t>.</w:t>
      </w:r>
    </w:p>
    <w:p>
      <w:pPr>
        <w:spacing w:after="0" w:line="225" w:lineRule="exact"/>
        <w:rPr>
          <w:sz w:val="20"/>
          <w:szCs w:val="20"/>
          <w:color w:val="auto"/>
        </w:rPr>
      </w:pPr>
    </w:p>
    <w:p>
      <w:pPr>
        <w:jc w:val="both"/>
        <w:ind w:firstLine="656"/>
        <w:spacing w:after="0" w:line="216" w:lineRule="auto"/>
        <w:tabs>
          <w:tab w:leader="none" w:pos="908" w:val="left"/>
        </w:tabs>
        <w:numPr>
          <w:ilvl w:val="0"/>
          <w:numId w:val="23"/>
        </w:numPr>
        <w:rPr>
          <w:rFonts w:ascii="Arial" w:cs="Arial" w:eastAsia="Arial" w:hAnsi="Arial"/>
          <w:sz w:val="18"/>
          <w:szCs w:val="18"/>
          <w:color w:val="282828"/>
        </w:rPr>
      </w:pPr>
      <w:r>
        <w:rPr>
          <w:rFonts w:ascii="Arial" w:cs="Arial" w:eastAsia="Arial" w:hAnsi="Arial"/>
          <w:sz w:val="18"/>
          <w:szCs w:val="18"/>
          <w:color w:val="282828"/>
        </w:rPr>
        <w:t>During the Employment Period, Executive's base salary shall be $275,000 per annum or such higher rate as the Board may determine from time to time (as adjusted from time to time, the "</w:t>
      </w:r>
      <w:r>
        <w:rPr>
          <w:rFonts w:ascii="Arial" w:cs="Arial" w:eastAsia="Arial" w:hAnsi="Arial"/>
          <w:sz w:val="18"/>
          <w:szCs w:val="18"/>
          <w:u w:val="single" w:color="auto"/>
          <w:color w:val="282828"/>
        </w:rPr>
        <w:t>Base Salary</w:t>
      </w:r>
      <w:r>
        <w:rPr>
          <w:rFonts w:ascii="Arial" w:cs="Arial" w:eastAsia="Arial" w:hAnsi="Arial"/>
          <w:sz w:val="18"/>
          <w:szCs w:val="18"/>
          <w:color w:val="282828"/>
        </w:rPr>
        <w:t>"), which salary shall be payable by the Company in regular installments in accordance with the Company's general payroll practices in effect from time to time, but in no event less frequently than monthly. In addition, during the Employment Period, Executive shall be entitled to participate in all of the Company's employee benefit programs for which senior executive employees of the Company and its subsidiaries are generally eligible.</w:t>
      </w:r>
    </w:p>
    <w:p>
      <w:pPr>
        <w:spacing w:after="0" w:line="189" w:lineRule="exact"/>
        <w:rPr>
          <w:rFonts w:ascii="Arial" w:cs="Arial" w:eastAsia="Arial" w:hAnsi="Arial"/>
          <w:sz w:val="18"/>
          <w:szCs w:val="18"/>
          <w:color w:val="282828"/>
        </w:rPr>
      </w:pPr>
    </w:p>
    <w:p>
      <w:pPr>
        <w:jc w:val="both"/>
        <w:ind w:firstLine="656"/>
        <w:spacing w:after="0" w:line="231" w:lineRule="auto"/>
        <w:tabs>
          <w:tab w:leader="none" w:pos="922" w:val="left"/>
        </w:tabs>
        <w:numPr>
          <w:ilvl w:val="0"/>
          <w:numId w:val="23"/>
        </w:numPr>
        <w:rPr>
          <w:rFonts w:ascii="Arial" w:cs="Arial" w:eastAsia="Arial" w:hAnsi="Arial"/>
          <w:sz w:val="18"/>
          <w:szCs w:val="18"/>
          <w:color w:val="282828"/>
        </w:rPr>
      </w:pPr>
      <w:r>
        <w:rPr>
          <w:rFonts w:ascii="Arial" w:cs="Arial" w:eastAsia="Arial" w:hAnsi="Arial"/>
          <w:sz w:val="18"/>
          <w:szCs w:val="18"/>
          <w:color w:val="282828"/>
        </w:rPr>
        <w:t>During the Employment Period, the Company shall reimburse Executive for all reasonable business expenses incurred by Executive in the course of performing Executive's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w:t>
      </w:r>
    </w:p>
    <w:p>
      <w:pPr>
        <w:spacing w:after="0" w:line="202" w:lineRule="exact"/>
        <w:rPr>
          <w:rFonts w:ascii="Arial" w:cs="Arial" w:eastAsia="Arial" w:hAnsi="Arial"/>
          <w:sz w:val="18"/>
          <w:szCs w:val="18"/>
          <w:color w:val="282828"/>
        </w:rPr>
      </w:pPr>
    </w:p>
    <w:p>
      <w:pPr>
        <w:jc w:val="both"/>
        <w:ind w:firstLine="656"/>
        <w:spacing w:after="0" w:line="258" w:lineRule="auto"/>
        <w:tabs>
          <w:tab w:leader="none" w:pos="904" w:val="left"/>
        </w:tabs>
        <w:numPr>
          <w:ilvl w:val="0"/>
          <w:numId w:val="23"/>
        </w:numPr>
        <w:rPr>
          <w:rFonts w:ascii="Arial" w:cs="Arial" w:eastAsia="Arial" w:hAnsi="Arial"/>
          <w:sz w:val="16"/>
          <w:szCs w:val="16"/>
          <w:color w:val="282828"/>
        </w:rPr>
      </w:pPr>
      <w:r>
        <w:rPr>
          <w:rFonts w:ascii="Arial" w:cs="Arial" w:eastAsia="Arial" w:hAnsi="Arial"/>
          <w:sz w:val="16"/>
          <w:szCs w:val="16"/>
          <w:color w:val="282828"/>
        </w:rPr>
        <w:t>In addition to the Base Salary, Executive shall be eligible to receive an annual cash bonus in an amount equal to 60% of the Base Salary for achievement of target-level performance objectives ("</w:t>
      </w:r>
      <w:r>
        <w:rPr>
          <w:rFonts w:ascii="Arial" w:cs="Arial" w:eastAsia="Arial" w:hAnsi="Arial"/>
          <w:sz w:val="16"/>
          <w:szCs w:val="16"/>
          <w:u w:val="single" w:color="auto"/>
          <w:color w:val="282828"/>
        </w:rPr>
        <w:t>Target Bonus</w:t>
      </w:r>
      <w:r>
        <w:rPr>
          <w:rFonts w:ascii="Arial" w:cs="Arial" w:eastAsia="Arial" w:hAnsi="Arial"/>
          <w:sz w:val="16"/>
          <w:szCs w:val="16"/>
          <w:color w:val="282828"/>
        </w:rPr>
        <w:t>") (with the eligible amount of such bonus being more or less than the Target Bonus in the event of achievement below or above target-performance objectives, in each case as determined by the Board in its discretion). The annual bonus, to the extent earned in a given fiscal year as determined in the sole discretion of the Board, will be paid to Executive within 30 days following the completion of the audit for such fiscal year during the Employment Period based upon Executive's performance and the Company's achievement of financial, operating and other objectives set by the Board and communicated to Executive not later than 90 days after the commencement of the applicable fiscal year.</w:t>
      </w:r>
    </w:p>
    <w:p>
      <w:pPr>
        <w:spacing w:after="0" w:line="190" w:lineRule="exact"/>
        <w:rPr>
          <w:rFonts w:ascii="Arial" w:cs="Arial" w:eastAsia="Arial" w:hAnsi="Arial"/>
          <w:sz w:val="16"/>
          <w:szCs w:val="16"/>
          <w:color w:val="282828"/>
        </w:rPr>
      </w:pPr>
    </w:p>
    <w:p>
      <w:pPr>
        <w:ind w:firstLine="656"/>
        <w:spacing w:after="0" w:line="246" w:lineRule="auto"/>
        <w:tabs>
          <w:tab w:leader="none" w:pos="909" w:val="left"/>
        </w:tabs>
        <w:numPr>
          <w:ilvl w:val="0"/>
          <w:numId w:val="23"/>
        </w:numPr>
        <w:rPr>
          <w:rFonts w:ascii="Arial" w:cs="Arial" w:eastAsia="Arial" w:hAnsi="Arial"/>
          <w:sz w:val="18"/>
          <w:szCs w:val="18"/>
          <w:color w:val="282828"/>
        </w:rPr>
      </w:pPr>
      <w:r>
        <w:rPr>
          <w:rFonts w:ascii="Arial" w:cs="Arial" w:eastAsia="Arial" w:hAnsi="Arial"/>
          <w:sz w:val="18"/>
          <w:szCs w:val="18"/>
          <w:color w:val="282828"/>
        </w:rPr>
        <w:t>All amounts payable to Executive as compensation hereunder shall be subject to all required and customary withholding by the Company and its subsidiaries.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 xml:space="preserve">Section 4. </w:t>
      </w:r>
      <w:r>
        <w:rPr>
          <w:rFonts w:ascii="Arial" w:cs="Arial" w:eastAsia="Arial" w:hAnsi="Arial"/>
          <w:sz w:val="18"/>
          <w:szCs w:val="18"/>
          <w:u w:val="single" w:color="auto"/>
          <w:color w:val="282828"/>
        </w:rPr>
        <w:t>Term</w:t>
      </w:r>
      <w:r>
        <w:rPr>
          <w:rFonts w:ascii="Arial" w:cs="Arial" w:eastAsia="Arial" w:hAnsi="Arial"/>
          <w:sz w:val="18"/>
          <w:szCs w:val="18"/>
          <w:color w:val="282828"/>
        </w:rPr>
        <w:t>.</w:t>
      </w:r>
    </w:p>
    <w:p>
      <w:pPr>
        <w:sectPr>
          <w:pgSz w:w="11900" w:h="16838" w:orient="portrait"/>
          <w:cols w:equalWidth="0" w:num="1">
            <w:col w:w="11240"/>
          </w:cols>
          <w:pgMar w:left="320" w:top="891" w:right="339" w:bottom="1440" w:gutter="0" w:footer="0" w:header="0"/>
        </w:sectPr>
      </w:pPr>
    </w:p>
    <w:bookmarkStart w:id="90" w:name="page91"/>
    <w:bookmarkEnd w:id="90"/>
    <w:p>
      <w:pPr>
        <w:ind w:firstLine="656"/>
        <w:spacing w:after="0" w:line="246" w:lineRule="auto"/>
        <w:tabs>
          <w:tab w:leader="none" w:pos="913" w:val="left"/>
        </w:tabs>
        <w:numPr>
          <w:ilvl w:val="0"/>
          <w:numId w:val="24"/>
        </w:numPr>
        <w:rPr>
          <w:rFonts w:ascii="Arial" w:cs="Arial" w:eastAsia="Arial" w:hAnsi="Arial"/>
          <w:sz w:val="18"/>
          <w:szCs w:val="18"/>
          <w:color w:val="282828"/>
        </w:rPr>
      </w:pPr>
      <w:r>
        <w:rPr>
          <w:rFonts w:ascii="Arial" w:cs="Arial" w:eastAsia="Arial" w:hAnsi="Arial"/>
          <w:sz w:val="18"/>
          <w:szCs w:val="18"/>
          <w:color w:val="282828"/>
        </w:rPr>
        <w:t>The Employment Period shall begin on the date of this Agreement and terminate upon the first to occur of (i) Executive's resignation, (ii) Executive's death or Disability and (iii) the Company's termination of Executive for Cause or without Cause.</w:t>
      </w:r>
    </w:p>
    <w:p>
      <w:pPr>
        <w:spacing w:after="0" w:line="196" w:lineRule="exact"/>
        <w:rPr>
          <w:rFonts w:ascii="Arial" w:cs="Arial" w:eastAsia="Arial" w:hAnsi="Arial"/>
          <w:sz w:val="18"/>
          <w:szCs w:val="18"/>
          <w:color w:val="282828"/>
        </w:rPr>
      </w:pPr>
    </w:p>
    <w:p>
      <w:pPr>
        <w:jc w:val="both"/>
        <w:ind w:firstLine="656"/>
        <w:spacing w:after="0" w:line="242" w:lineRule="auto"/>
        <w:tabs>
          <w:tab w:leader="none" w:pos="910" w:val="left"/>
        </w:tabs>
        <w:numPr>
          <w:ilvl w:val="0"/>
          <w:numId w:val="24"/>
        </w:numPr>
        <w:rPr>
          <w:rFonts w:ascii="Arial" w:cs="Arial" w:eastAsia="Arial" w:hAnsi="Arial"/>
          <w:sz w:val="17"/>
          <w:szCs w:val="17"/>
          <w:color w:val="282828"/>
        </w:rPr>
      </w:pPr>
      <w:r>
        <w:rPr>
          <w:rFonts w:ascii="Arial" w:cs="Arial" w:eastAsia="Arial" w:hAnsi="Arial"/>
          <w:sz w:val="17"/>
          <w:szCs w:val="17"/>
          <w:color w:val="282828"/>
        </w:rPr>
        <w:t>If the Employment Period is terminated by the Company without Cause (or by Executive's resignation within 30 days following a Sale of the Company (as defined in the LLC Agreement) in which Executive is not retained in his current or a comparable position at a principal work location located within 75 miles of Executive's principal work location at the time of such Sale of the Company), Executive shall be entitled to receive Executive's Base Salary, accrued unused vacation (in accordance with the Company's vacation plan) and employee benefits through the date of termination and shall not be entitled to any other salary, compensation or benefits from the Company Group thereafter, except as follows:</w:t>
      </w:r>
    </w:p>
    <w:p>
      <w:pPr>
        <w:spacing w:after="0" w:line="202" w:lineRule="exact"/>
        <w:rPr>
          <w:sz w:val="20"/>
          <w:szCs w:val="20"/>
          <w:color w:val="auto"/>
        </w:rPr>
      </w:pPr>
    </w:p>
    <w:p>
      <w:pPr>
        <w:jc w:val="both"/>
        <w:ind w:left="340" w:firstLine="316"/>
        <w:spacing w:after="0" w:line="251" w:lineRule="auto"/>
        <w:tabs>
          <w:tab w:leader="none" w:pos="891" w:val="left"/>
        </w:tabs>
        <w:numPr>
          <w:ilvl w:val="0"/>
          <w:numId w:val="25"/>
        </w:numPr>
        <w:rPr>
          <w:rFonts w:ascii="Arial" w:cs="Arial" w:eastAsia="Arial" w:hAnsi="Arial"/>
          <w:sz w:val="16"/>
          <w:szCs w:val="16"/>
          <w:color w:val="282828"/>
        </w:rPr>
      </w:pPr>
      <w:r>
        <w:rPr>
          <w:rFonts w:ascii="Arial" w:cs="Arial" w:eastAsia="Arial" w:hAnsi="Arial"/>
          <w:sz w:val="16"/>
          <w:szCs w:val="16"/>
          <w:color w:val="282828"/>
        </w:rPr>
        <w:t xml:space="preserve">subject to the terms and conditions of </w:t>
      </w:r>
      <w:r>
        <w:rPr>
          <w:rFonts w:ascii="Arial" w:cs="Arial" w:eastAsia="Arial" w:hAnsi="Arial"/>
          <w:sz w:val="16"/>
          <w:szCs w:val="16"/>
          <w:u w:val="single" w:color="auto"/>
          <w:color w:val="282828"/>
        </w:rPr>
        <w:t>Section 10</w:t>
      </w:r>
      <w:r>
        <w:rPr>
          <w:rFonts w:ascii="Arial" w:cs="Arial" w:eastAsia="Arial" w:hAnsi="Arial"/>
          <w:sz w:val="16"/>
          <w:szCs w:val="16"/>
          <w:color w:val="282828"/>
        </w:rPr>
        <w:t>, Executive shall be entitled to continue to receive a cash amount equal to Executive's Base Salary, payable in regular payroll installments, and to continue to participate in health benefit plans for senior executive employees of the Company to the extent permitted under the terms of such plans and programs and such participation would not result in excise or other similar taxes payable by the Company Group or loss of benefits by the Company Group, for a period of 12 months after the date of such termination (the "</w:t>
      </w:r>
      <w:r>
        <w:rPr>
          <w:rFonts w:ascii="Arial" w:cs="Arial" w:eastAsia="Arial" w:hAnsi="Arial"/>
          <w:sz w:val="16"/>
          <w:szCs w:val="16"/>
          <w:u w:val="single" w:color="auto"/>
          <w:color w:val="282828"/>
        </w:rPr>
        <w:t>Severance Period</w:t>
      </w:r>
      <w:r>
        <w:rPr>
          <w:rFonts w:ascii="Arial" w:cs="Arial" w:eastAsia="Arial" w:hAnsi="Arial"/>
          <w:sz w:val="16"/>
          <w:szCs w:val="16"/>
          <w:color w:val="282828"/>
        </w:rPr>
        <w:t>"). As a result of such termination, Executive shall also be entitled to payment of (x) any unpaid annual bonus earned for any completed fiscal year ("</w:t>
      </w:r>
      <w:r>
        <w:rPr>
          <w:rFonts w:ascii="Arial" w:cs="Arial" w:eastAsia="Arial" w:hAnsi="Arial"/>
          <w:sz w:val="16"/>
          <w:szCs w:val="16"/>
          <w:u w:val="single" w:color="auto"/>
          <w:color w:val="282828"/>
        </w:rPr>
        <w:t>Prior Year</w:t>
      </w:r>
      <w:r>
        <w:rPr>
          <w:rFonts w:ascii="Arial" w:cs="Arial" w:eastAsia="Arial" w:hAnsi="Arial"/>
          <w:sz w:val="16"/>
          <w:szCs w:val="16"/>
          <w:color w:val="282828"/>
        </w:rPr>
        <w:t xml:space="preserve"> </w:t>
      </w:r>
      <w:r>
        <w:rPr>
          <w:rFonts w:ascii="Arial" w:cs="Arial" w:eastAsia="Arial" w:hAnsi="Arial"/>
          <w:sz w:val="16"/>
          <w:szCs w:val="16"/>
          <w:u w:val="single" w:color="auto"/>
          <w:color w:val="282828"/>
        </w:rPr>
        <w:t>Bonus</w:t>
      </w:r>
      <w:r>
        <w:rPr>
          <w:rFonts w:ascii="Arial" w:cs="Arial" w:eastAsia="Arial" w:hAnsi="Arial"/>
          <w:sz w:val="16"/>
          <w:szCs w:val="16"/>
          <w:color w:val="282828"/>
        </w:rPr>
        <w:t xml:space="preserve">"), which bonus shall be payable at such time as such bonus is otherwise payable pursuant to </w:t>
      </w:r>
      <w:r>
        <w:rPr>
          <w:rFonts w:ascii="Arial" w:cs="Arial" w:eastAsia="Arial" w:hAnsi="Arial"/>
          <w:sz w:val="16"/>
          <w:szCs w:val="16"/>
          <w:u w:val="single" w:color="auto"/>
          <w:color w:val="282828"/>
        </w:rPr>
        <w:t>Section 3(c),</w:t>
      </w:r>
      <w:r>
        <w:rPr>
          <w:rFonts w:ascii="Arial" w:cs="Arial" w:eastAsia="Arial" w:hAnsi="Arial"/>
          <w:sz w:val="16"/>
          <w:szCs w:val="16"/>
          <w:color w:val="282828"/>
        </w:rPr>
        <w:t xml:space="preserve"> and (y) a pro rata bonus for the fiscal year in which such termination occurs in an amount equal to (A) 60% of the Base Salary, </w:t>
      </w:r>
      <w:r>
        <w:rPr>
          <w:rFonts w:ascii="Arial" w:cs="Arial" w:eastAsia="Arial" w:hAnsi="Arial"/>
          <w:sz w:val="16"/>
          <w:szCs w:val="16"/>
          <w:u w:val="single" w:color="auto"/>
          <w:color w:val="282828"/>
        </w:rPr>
        <w:t>multiplied</w:t>
      </w:r>
      <w:r>
        <w:rPr>
          <w:rFonts w:ascii="Arial" w:cs="Arial" w:eastAsia="Arial" w:hAnsi="Arial"/>
          <w:sz w:val="16"/>
          <w:szCs w:val="16"/>
          <w:color w:val="282828"/>
        </w:rPr>
        <w:t xml:space="preserve"> by (B) the ratio of the number of days Executive is employed in such fiscal year to 365 ("</w:t>
      </w:r>
      <w:r>
        <w:rPr>
          <w:rFonts w:ascii="Arial" w:cs="Arial" w:eastAsia="Arial" w:hAnsi="Arial"/>
          <w:sz w:val="16"/>
          <w:szCs w:val="16"/>
          <w:u w:val="single" w:color="auto"/>
          <w:color w:val="282828"/>
        </w:rPr>
        <w:t>Pro Rata Bonus</w:t>
      </w:r>
      <w:r>
        <w:rPr>
          <w:rFonts w:ascii="Arial" w:cs="Arial" w:eastAsia="Arial" w:hAnsi="Arial"/>
          <w:sz w:val="16"/>
          <w:szCs w:val="16"/>
          <w:color w:val="282828"/>
        </w:rPr>
        <w:t xml:space="preserve">"), which bonus shall be payable in equal installments over the Severance Period on regular payroll dates. The foregoing amounts under this </w:t>
      </w:r>
      <w:r>
        <w:rPr>
          <w:rFonts w:ascii="Arial" w:cs="Arial" w:eastAsia="Arial" w:hAnsi="Arial"/>
          <w:sz w:val="16"/>
          <w:szCs w:val="16"/>
          <w:u w:val="single" w:color="auto"/>
          <w:color w:val="282828"/>
        </w:rPr>
        <w:t>Section 4(b)(i)</w:t>
      </w:r>
      <w:r>
        <w:rPr>
          <w:rFonts w:ascii="Arial" w:cs="Arial" w:eastAsia="Arial" w:hAnsi="Arial"/>
          <w:sz w:val="16"/>
          <w:szCs w:val="16"/>
          <w:color w:val="282828"/>
        </w:rPr>
        <w:t xml:space="preserve"> shall be payable to Executive if and only if Executive has executed and delivered to the Company a general release substantially in form and substance as set forth in </w:t>
      </w:r>
      <w:r>
        <w:rPr>
          <w:rFonts w:ascii="Arial" w:cs="Arial" w:eastAsia="Arial" w:hAnsi="Arial"/>
          <w:sz w:val="16"/>
          <w:szCs w:val="16"/>
          <w:u w:val="single" w:color="auto"/>
          <w:color w:val="282828"/>
        </w:rPr>
        <w:t>Exhibit A</w:t>
      </w:r>
      <w:r>
        <w:rPr>
          <w:rFonts w:ascii="Arial" w:cs="Arial" w:eastAsia="Arial" w:hAnsi="Arial"/>
          <w:sz w:val="16"/>
          <w:szCs w:val="16"/>
          <w:color w:val="282828"/>
        </w:rPr>
        <w:t xml:space="preserve"> attached hereto (the "</w:t>
      </w:r>
      <w:r>
        <w:rPr>
          <w:rFonts w:ascii="Arial" w:cs="Arial" w:eastAsia="Arial" w:hAnsi="Arial"/>
          <w:sz w:val="16"/>
          <w:szCs w:val="16"/>
          <w:u w:val="single" w:color="auto"/>
          <w:color w:val="282828"/>
        </w:rPr>
        <w:t>General Release</w:t>
      </w:r>
      <w:r>
        <w:rPr>
          <w:rFonts w:ascii="Arial" w:cs="Arial" w:eastAsia="Arial" w:hAnsi="Arial"/>
          <w:sz w:val="16"/>
          <w:szCs w:val="16"/>
          <w:color w:val="282828"/>
        </w:rPr>
        <w:t xml:space="preserve">") and the General Release has become effective and is no longer subject to revocation within sixty (60) days following the date of such termination, and only so long as Executive has not revoked or breached the provisions of the General Release or breached the provisions of </w:t>
      </w:r>
      <w:r>
        <w:rPr>
          <w:rFonts w:ascii="Arial" w:cs="Arial" w:eastAsia="Arial" w:hAnsi="Arial"/>
          <w:sz w:val="16"/>
          <w:szCs w:val="16"/>
          <w:u w:val="single" w:color="auto"/>
          <w:color w:val="282828"/>
        </w:rPr>
        <w:t>Section 5,</w:t>
      </w:r>
      <w:r>
        <w:rPr>
          <w:rFonts w:ascii="Arial" w:cs="Arial" w:eastAsia="Arial" w:hAnsi="Arial"/>
          <w:sz w:val="16"/>
          <w:szCs w:val="16"/>
          <w:color w:val="282828"/>
        </w:rPr>
        <w:t xml:space="preserve"> Section 6 or </w:t>
      </w:r>
      <w:r>
        <w:rPr>
          <w:rFonts w:ascii="Arial" w:cs="Arial" w:eastAsia="Arial" w:hAnsi="Arial"/>
          <w:sz w:val="16"/>
          <w:szCs w:val="16"/>
          <w:u w:val="single" w:color="auto"/>
          <w:color w:val="282828"/>
        </w:rPr>
        <w:t>Section 7</w:t>
      </w:r>
      <w:r>
        <w:rPr>
          <w:rFonts w:ascii="Arial" w:cs="Arial" w:eastAsia="Arial" w:hAnsi="Arial"/>
          <w:sz w:val="16"/>
          <w:szCs w:val="16"/>
          <w:color w:val="282828"/>
        </w:rPr>
        <w:t xml:space="preserve"> and does not apply for unemployment compensation chargeable to the Company or any subsidiary during the Severance Period, and</w:t>
      </w:r>
    </w:p>
    <w:p>
      <w:pPr>
        <w:spacing w:after="0" w:line="198" w:lineRule="exact"/>
        <w:rPr>
          <w:rFonts w:ascii="Arial" w:cs="Arial" w:eastAsia="Arial" w:hAnsi="Arial"/>
          <w:sz w:val="16"/>
          <w:szCs w:val="16"/>
          <w:color w:val="282828"/>
        </w:rPr>
      </w:pPr>
    </w:p>
    <w:p>
      <w:pPr>
        <w:ind w:left="340" w:firstLine="316"/>
        <w:spacing w:after="0" w:line="246" w:lineRule="auto"/>
        <w:tabs>
          <w:tab w:leader="none" w:pos="937" w:val="left"/>
        </w:tabs>
        <w:numPr>
          <w:ilvl w:val="0"/>
          <w:numId w:val="25"/>
        </w:numPr>
        <w:rPr>
          <w:rFonts w:ascii="Arial" w:cs="Arial" w:eastAsia="Arial" w:hAnsi="Arial"/>
          <w:sz w:val="18"/>
          <w:szCs w:val="18"/>
          <w:color w:val="282828"/>
        </w:rPr>
      </w:pPr>
      <w:r>
        <w:rPr>
          <w:rFonts w:ascii="Arial" w:cs="Arial" w:eastAsia="Arial" w:hAnsi="Arial"/>
          <w:sz w:val="18"/>
          <w:szCs w:val="18"/>
          <w:color w:val="282828"/>
        </w:rPr>
        <w:t>Executive shall not be entitled to any other salary, compensation or benefits after termination of the Employment Period, except as otherwise specifically provided for under the Company's employee benefit plans or as expressly required by applicable law.</w:t>
      </w:r>
    </w:p>
    <w:p>
      <w:pPr>
        <w:spacing w:after="0" w:line="196" w:lineRule="exact"/>
        <w:rPr>
          <w:rFonts w:ascii="Arial" w:cs="Arial" w:eastAsia="Arial" w:hAnsi="Arial"/>
          <w:sz w:val="18"/>
          <w:szCs w:val="18"/>
          <w:color w:val="282828"/>
        </w:rPr>
      </w:pPr>
    </w:p>
    <w:p>
      <w:pPr>
        <w:jc w:val="both"/>
        <w:ind w:left="340" w:firstLine="316"/>
        <w:spacing w:after="0" w:line="235" w:lineRule="auto"/>
        <w:tabs>
          <w:tab w:leader="none" w:pos="995" w:val="left"/>
        </w:tabs>
        <w:numPr>
          <w:ilvl w:val="0"/>
          <w:numId w:val="25"/>
        </w:numPr>
        <w:rPr>
          <w:rFonts w:ascii="Arial" w:cs="Arial" w:eastAsia="Arial" w:hAnsi="Arial"/>
          <w:sz w:val="18"/>
          <w:szCs w:val="18"/>
          <w:color w:val="282828"/>
        </w:rPr>
      </w:pPr>
      <w:r>
        <w:rPr>
          <w:rFonts w:ascii="Arial" w:cs="Arial" w:eastAsia="Arial" w:hAnsi="Arial"/>
          <w:sz w:val="18"/>
          <w:szCs w:val="18"/>
          <w:color w:val="282828"/>
        </w:rPr>
        <w:t xml:space="preserve">In no event shall Executive be obliged to seek other employment or take any other action by way of mitigation of the amounts payable to Executive under </w:t>
      </w:r>
      <w:r>
        <w:rPr>
          <w:rFonts w:ascii="Arial" w:cs="Arial" w:eastAsia="Arial" w:hAnsi="Arial"/>
          <w:sz w:val="18"/>
          <w:szCs w:val="18"/>
          <w:u w:val="single" w:color="auto"/>
          <w:color w:val="282828"/>
        </w:rPr>
        <w:t>Section</w:t>
      </w:r>
      <w:r>
        <w:rPr>
          <w:rFonts w:ascii="Arial" w:cs="Arial" w:eastAsia="Arial" w:hAnsi="Arial"/>
          <w:sz w:val="18"/>
          <w:szCs w:val="18"/>
          <w:color w:val="282828"/>
        </w:rPr>
        <w:t xml:space="preserve"> </w:t>
      </w:r>
      <w:r>
        <w:rPr>
          <w:rFonts w:ascii="Arial" w:cs="Arial" w:eastAsia="Arial" w:hAnsi="Arial"/>
          <w:sz w:val="18"/>
          <w:szCs w:val="18"/>
          <w:i w:val="1"/>
          <w:iCs w:val="1"/>
          <w:u w:val="single" w:color="auto"/>
          <w:color w:val="282828"/>
        </w:rPr>
        <w:t>4(b</w:t>
      </w:r>
      <w:r>
        <w:rPr>
          <w:rFonts w:ascii="Arial" w:cs="Arial" w:eastAsia="Arial" w:hAnsi="Arial"/>
          <w:sz w:val="18"/>
          <w:szCs w:val="18"/>
          <w:u w:val="single" w:color="auto"/>
          <w:color w:val="282828"/>
        </w:rPr>
        <w:t>)(i),</w:t>
      </w:r>
      <w:r>
        <w:rPr>
          <w:rFonts w:ascii="Arial" w:cs="Arial" w:eastAsia="Arial" w:hAnsi="Arial"/>
          <w:sz w:val="18"/>
          <w:szCs w:val="18"/>
          <w:color w:val="282828"/>
        </w:rPr>
        <w:t xml:space="preserve"> nor shall the amount of any payment hereunder be reduced by any compensation earned by the Executive as a result of employment by another employer.</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82828"/>
        </w:rPr>
        <w:t xml:space="preserve">Any amounts payable pursuant to </w:t>
      </w:r>
      <w:r>
        <w:rPr>
          <w:rFonts w:ascii="Arial" w:cs="Arial" w:eastAsia="Arial" w:hAnsi="Arial"/>
          <w:sz w:val="16"/>
          <w:szCs w:val="16"/>
          <w:u w:val="single" w:color="auto"/>
          <w:color w:val="282828"/>
        </w:rPr>
        <w:t>Section 4(b)(i)</w:t>
      </w:r>
      <w:r>
        <w:rPr>
          <w:rFonts w:ascii="Arial" w:cs="Arial" w:eastAsia="Arial" w:hAnsi="Arial"/>
          <w:sz w:val="16"/>
          <w:szCs w:val="16"/>
          <w:color w:val="282828"/>
        </w:rPr>
        <w:t xml:space="preserve"> shall not be paid until the first scheduled payment date following the date the General Release is executed and no longer subject to revocation, with the first such payment being in an amount equal to the total amount to which Executive would otherwise have been entitled during the period following the date of termination if such deferral had not been required; </w:t>
      </w:r>
      <w:r>
        <w:rPr>
          <w:rFonts w:ascii="Arial" w:cs="Arial" w:eastAsia="Arial" w:hAnsi="Arial"/>
          <w:sz w:val="16"/>
          <w:szCs w:val="16"/>
          <w:u w:val="single" w:color="auto"/>
          <w:color w:val="282828"/>
        </w:rPr>
        <w:t>provided,</w:t>
      </w:r>
      <w:r>
        <w:rPr>
          <w:rFonts w:ascii="Arial" w:cs="Arial" w:eastAsia="Arial" w:hAnsi="Arial"/>
          <w:sz w:val="16"/>
          <w:szCs w:val="16"/>
          <w:color w:val="282828"/>
        </w:rPr>
        <w:t xml:space="preserve"> however, that any such amounts that constitute nonqualified deferred compensation within the meaning of Code §409A shall not be paid until the 60th day following such termination to the extent necessary to avoid adverse tax consequences under Code §409A, and, if such payments are required to be so deferred, the first payment shall be in an amount equal to the total amount to which Executive would otherwise have been entitled during the period following the date of termination if such deferral had not been required. Notwithstanding any other provision of this Agreement, if following the termination of the Employment Period, Executive is entitled to payments or other benefits under this </w:t>
      </w:r>
      <w:r>
        <w:rPr>
          <w:rFonts w:ascii="Arial" w:cs="Arial" w:eastAsia="Arial" w:hAnsi="Arial"/>
          <w:sz w:val="16"/>
          <w:szCs w:val="16"/>
          <w:u w:val="single" w:color="auto"/>
          <w:color w:val="282828"/>
        </w:rPr>
        <w:t>Section 4(b),</w:t>
      </w:r>
      <w:r>
        <w:rPr>
          <w:rFonts w:ascii="Arial" w:cs="Arial" w:eastAsia="Arial" w:hAnsi="Arial"/>
          <w:sz w:val="16"/>
          <w:szCs w:val="16"/>
          <w:color w:val="282828"/>
        </w:rPr>
        <w:t xml:space="preserve"> but it is later determined that Executive was terminable for Cause, (i) Executive shall not be entitled to any payments or other benefits pursuant to this </w:t>
      </w:r>
      <w:r>
        <w:rPr>
          <w:rFonts w:ascii="Arial" w:cs="Arial" w:eastAsia="Arial" w:hAnsi="Arial"/>
          <w:sz w:val="16"/>
          <w:szCs w:val="16"/>
          <w:u w:val="single" w:color="auto"/>
          <w:color w:val="282828"/>
        </w:rPr>
        <w:t>Section 4(b),</w:t>
      </w:r>
      <w:r>
        <w:rPr>
          <w:rFonts w:ascii="Arial" w:cs="Arial" w:eastAsia="Arial" w:hAnsi="Arial"/>
          <w:sz w:val="16"/>
          <w:szCs w:val="16"/>
          <w:color w:val="282828"/>
        </w:rPr>
        <w:t xml:space="preserve"> (ii) any and all payments to be made by the Company Group shall cease and (iii) any such payments previously made to Executive shall be returned immediately to the Company by Executive.</w:t>
      </w:r>
    </w:p>
    <w:p>
      <w:pPr>
        <w:spacing w:after="0" w:line="193" w:lineRule="exact"/>
        <w:rPr>
          <w:sz w:val="20"/>
          <w:szCs w:val="20"/>
          <w:color w:val="auto"/>
        </w:rPr>
      </w:pPr>
    </w:p>
    <w:p>
      <w:pPr>
        <w:jc w:val="both"/>
        <w:ind w:firstLine="656"/>
        <w:spacing w:after="0" w:line="214" w:lineRule="auto"/>
        <w:tabs>
          <w:tab w:leader="none" w:pos="922" w:val="left"/>
        </w:tabs>
        <w:numPr>
          <w:ilvl w:val="0"/>
          <w:numId w:val="26"/>
        </w:numPr>
        <w:rPr>
          <w:rFonts w:ascii="Arial" w:cs="Arial" w:eastAsia="Arial" w:hAnsi="Arial"/>
          <w:sz w:val="18"/>
          <w:szCs w:val="18"/>
          <w:color w:val="282828"/>
        </w:rPr>
      </w:pPr>
      <w:r>
        <w:rPr>
          <w:rFonts w:ascii="Arial" w:cs="Arial" w:eastAsia="Arial" w:hAnsi="Arial"/>
          <w:sz w:val="18"/>
          <w:szCs w:val="18"/>
          <w:color w:val="282828"/>
        </w:rPr>
        <w:t xml:space="preserve">If the Employment Period is terminated due to Executive's death, Disability or resignation, or due to Executive's termination for Cause, Executive shall be entitled to receive Executive's Base Salary, accrued and unused vacation (in accordance with the Company's vacation plan), and employee benefits through the date of such termination and Executive shall not be entitled to any other salary, compensation or benefits from the Company Group thereafter, except as otherwise specifically provided for under the Company's employee benefit plans or as expressly required by applicable law; provided, if such termination is due to Executive's death or Disability, Executive shall also be entitled to receive any Prior Year Bonus and a Pro Rata Bonus, in each case as payable at the times provided in </w:t>
      </w:r>
      <w:r>
        <w:rPr>
          <w:rFonts w:ascii="Arial" w:cs="Arial" w:eastAsia="Arial" w:hAnsi="Arial"/>
          <w:sz w:val="18"/>
          <w:szCs w:val="18"/>
          <w:u w:val="single" w:color="auto"/>
          <w:color w:val="282828"/>
        </w:rPr>
        <w:t>Section</w:t>
      </w:r>
      <w:r>
        <w:rPr>
          <w:rFonts w:ascii="Arial" w:cs="Arial" w:eastAsia="Arial" w:hAnsi="Arial"/>
          <w:sz w:val="18"/>
          <w:szCs w:val="18"/>
          <w:color w:val="282828"/>
        </w:rPr>
        <w:t xml:space="preserve"> </w:t>
      </w:r>
      <w:r>
        <w:rPr>
          <w:rFonts w:ascii="Arial" w:cs="Arial" w:eastAsia="Arial" w:hAnsi="Arial"/>
          <w:sz w:val="18"/>
          <w:szCs w:val="18"/>
          <w:i w:val="1"/>
          <w:iCs w:val="1"/>
          <w:u w:val="single" w:color="auto"/>
          <w:color w:val="282828"/>
        </w:rPr>
        <w:t>4(b)(i)</w:t>
      </w:r>
      <w:r>
        <w:rPr>
          <w:rFonts w:ascii="Arial" w:cs="Arial" w:eastAsia="Arial" w:hAnsi="Arial"/>
          <w:sz w:val="18"/>
          <w:szCs w:val="18"/>
          <w:i w:val="1"/>
          <w:iCs w:val="1"/>
          <w:color w:val="282828"/>
        </w:rPr>
        <w:t>.</w:t>
      </w:r>
    </w:p>
    <w:p>
      <w:pPr>
        <w:spacing w:after="0" w:line="188" w:lineRule="exact"/>
        <w:rPr>
          <w:rFonts w:ascii="Arial" w:cs="Arial" w:eastAsia="Arial" w:hAnsi="Arial"/>
          <w:sz w:val="18"/>
          <w:szCs w:val="18"/>
          <w:color w:val="282828"/>
        </w:rPr>
      </w:pPr>
    </w:p>
    <w:p>
      <w:pPr>
        <w:jc w:val="both"/>
        <w:ind w:firstLine="656"/>
        <w:spacing w:after="0" w:line="226" w:lineRule="auto"/>
        <w:tabs>
          <w:tab w:leader="none" w:pos="951" w:val="left"/>
        </w:tabs>
        <w:numPr>
          <w:ilvl w:val="0"/>
          <w:numId w:val="26"/>
        </w:numPr>
        <w:rPr>
          <w:rFonts w:ascii="Arial" w:cs="Arial" w:eastAsia="Arial" w:hAnsi="Arial"/>
          <w:sz w:val="17"/>
          <w:szCs w:val="17"/>
          <w:color w:val="282828"/>
        </w:rPr>
      </w:pPr>
      <w:r>
        <w:rPr>
          <w:rFonts w:ascii="Arial" w:cs="Arial" w:eastAsia="Arial" w:hAnsi="Arial"/>
          <w:sz w:val="17"/>
          <w:szCs w:val="17"/>
          <w:color w:val="282828"/>
        </w:rPr>
        <w:t xml:space="preserve">Except as otherwise expressly provided in this Agreement, all of Executive's rights to salary, bonuses, employee benefits and other compensation hereunder which would have accrued or become payable after the termination of the Employment Period shall cease upon such termination or expiration, other than those expressly required under applicable law (such as COBRA). Nothing contained herein is intended to limit or otherwise restrict the availability of any COBRA benefits to Executive required to be provided pursuant to Section 601 of Title I of the Employee Retirement Income Security Act of 1974 and Section 49808 of the Internal Revenue Code. Except as otherwise provided in </w:t>
      </w:r>
      <w:r>
        <w:rPr>
          <w:rFonts w:ascii="Arial" w:cs="Arial" w:eastAsia="Arial" w:hAnsi="Arial"/>
          <w:sz w:val="17"/>
          <w:szCs w:val="17"/>
          <w:u w:val="single" w:color="auto"/>
          <w:color w:val="282828"/>
        </w:rPr>
        <w:t>Section 10</w:t>
      </w:r>
      <w:r>
        <w:rPr>
          <w:rFonts w:ascii="Arial" w:cs="Arial" w:eastAsia="Arial" w:hAnsi="Arial"/>
          <w:sz w:val="17"/>
          <w:szCs w:val="17"/>
          <w:color w:val="282828"/>
        </w:rPr>
        <w:t>, the Company may offset any undisputed amounts Executive owes the Company Group against any amounts the Company Group owes Executive.</w:t>
      </w:r>
    </w:p>
    <w:p>
      <w:pPr>
        <w:sectPr>
          <w:pgSz w:w="11900" w:h="16838" w:orient="portrait"/>
          <w:cols w:equalWidth="0" w:num="1">
            <w:col w:w="11240"/>
          </w:cols>
          <w:pgMar w:left="320" w:top="881" w:right="339" w:bottom="1440" w:gutter="0" w:footer="0" w:header="0"/>
        </w:sectPr>
      </w:pPr>
    </w:p>
    <w:bookmarkStart w:id="91" w:name="page92"/>
    <w:bookmarkEnd w:id="91"/>
    <w:p>
      <w:pPr>
        <w:jc w:val="both"/>
        <w:ind w:firstLine="656"/>
        <w:spacing w:after="0" w:line="231" w:lineRule="auto"/>
        <w:tabs>
          <w:tab w:leader="none" w:pos="906" w:val="left"/>
        </w:tabs>
        <w:numPr>
          <w:ilvl w:val="1"/>
          <w:numId w:val="27"/>
        </w:numPr>
        <w:rPr>
          <w:rFonts w:ascii="Arial" w:cs="Arial" w:eastAsia="Arial" w:hAnsi="Arial"/>
          <w:sz w:val="16"/>
          <w:szCs w:val="16"/>
          <w:color w:val="282828"/>
        </w:rPr>
      </w:pPr>
      <w:r>
        <w:rPr>
          <w:rFonts w:ascii="Arial" w:cs="Arial" w:eastAsia="Arial" w:hAnsi="Arial"/>
          <w:sz w:val="16"/>
          <w:szCs w:val="16"/>
          <w:color w:val="282828"/>
        </w:rPr>
        <w:t>"</w:t>
      </w:r>
      <w:r>
        <w:rPr>
          <w:rFonts w:ascii="Arial" w:cs="Arial" w:eastAsia="Arial" w:hAnsi="Arial"/>
          <w:sz w:val="16"/>
          <w:szCs w:val="16"/>
          <w:u w:val="single" w:color="auto"/>
          <w:color w:val="282828"/>
        </w:rPr>
        <w:t>Cause</w:t>
      </w:r>
      <w:r>
        <w:rPr>
          <w:rFonts w:ascii="Arial" w:cs="Arial" w:eastAsia="Arial" w:hAnsi="Arial"/>
          <w:sz w:val="16"/>
          <w:szCs w:val="16"/>
          <w:color w:val="282828"/>
        </w:rPr>
        <w:t xml:space="preserve">" shall mean with respect to Executive one or more of the following: (i) the commission of a felony or other crime involving moral turpitude; (ii) the commission of any act or omission involving dishonesty, disloyalty or fraud with respect to the Company Group; (iii) reporting to work under the influence of alcohol or illegal drugs, the use of illegal drugs (whether or not at the workplace) or other repeated conduct causing the Company Group substantial public disgrace or substantial economic harm; (iv) substantial and repeated failure to perform duties as reasonably directed by the officer to which Executive reports or the Board; (v) any intentional act or omission aiding or abetting a competitor, supplier or customer of the Company Group to the material disadvantage of the Company Group; (vi) breach of fiduciary duty or willful misconduct with respect to the Company Group or (vii) any other material breach of this Agreement; </w:t>
      </w:r>
      <w:r>
        <w:rPr>
          <w:rFonts w:ascii="Arial" w:cs="Arial" w:eastAsia="Arial" w:hAnsi="Arial"/>
          <w:sz w:val="16"/>
          <w:szCs w:val="16"/>
          <w:u w:val="single" w:color="auto"/>
          <w:color w:val="282828"/>
        </w:rPr>
        <w:t>provided,</w:t>
      </w:r>
      <w:r>
        <w:rPr>
          <w:rFonts w:ascii="Arial" w:cs="Arial" w:eastAsia="Arial" w:hAnsi="Arial"/>
          <w:sz w:val="16"/>
          <w:szCs w:val="16"/>
          <w:color w:val="282828"/>
        </w:rPr>
        <w:t xml:space="preserve"> Executive shall be entitled to notice and an opportunity to cure any act or omission (if curable) under clause</w:t>
      </w:r>
    </w:p>
    <w:p>
      <w:pPr>
        <w:spacing w:after="0" w:line="4" w:lineRule="exact"/>
        <w:rPr>
          <w:rFonts w:ascii="Arial" w:cs="Arial" w:eastAsia="Arial" w:hAnsi="Arial"/>
          <w:sz w:val="16"/>
          <w:szCs w:val="16"/>
          <w:color w:val="282828"/>
        </w:rPr>
      </w:pPr>
    </w:p>
    <w:p>
      <w:pPr>
        <w:ind w:left="360" w:hanging="352"/>
        <w:spacing w:after="0"/>
        <w:tabs>
          <w:tab w:leader="none" w:pos="360" w:val="left"/>
        </w:tabs>
        <w:numPr>
          <w:ilvl w:val="0"/>
          <w:numId w:val="28"/>
        </w:numPr>
        <w:rPr>
          <w:rFonts w:ascii="Arial" w:cs="Arial" w:eastAsia="Arial" w:hAnsi="Arial"/>
          <w:sz w:val="18"/>
          <w:szCs w:val="18"/>
          <w:color w:val="282828"/>
        </w:rPr>
      </w:pPr>
      <w:r>
        <w:rPr>
          <w:rFonts w:ascii="Arial" w:cs="Arial" w:eastAsia="Arial" w:hAnsi="Arial"/>
          <w:sz w:val="18"/>
          <w:szCs w:val="18"/>
          <w:color w:val="282828"/>
        </w:rPr>
        <w:t>which is not cured to the Board's reasonable satisfaction within 30 days after written notice thereof to Executive.</w:t>
      </w:r>
    </w:p>
    <w:p>
      <w:pPr>
        <w:spacing w:after="0" w:line="195" w:lineRule="exact"/>
        <w:rPr>
          <w:rFonts w:ascii="Arial" w:cs="Arial" w:eastAsia="Arial" w:hAnsi="Arial"/>
          <w:sz w:val="18"/>
          <w:szCs w:val="18"/>
          <w:color w:val="282828"/>
        </w:rPr>
      </w:pPr>
    </w:p>
    <w:p>
      <w:pPr>
        <w:ind w:right="20" w:firstLine="656"/>
        <w:spacing w:after="0" w:line="235" w:lineRule="auto"/>
        <w:tabs>
          <w:tab w:leader="none" w:pos="886" w:val="left"/>
        </w:tabs>
        <w:numPr>
          <w:ilvl w:val="1"/>
          <w:numId w:val="28"/>
        </w:numPr>
        <w:rPr>
          <w:rFonts w:ascii="Arial" w:cs="Arial" w:eastAsia="Arial" w:hAnsi="Arial"/>
          <w:sz w:val="18"/>
          <w:szCs w:val="18"/>
          <w:color w:val="282828"/>
        </w:rPr>
      </w:pPr>
      <w:r>
        <w:rPr>
          <w:rFonts w:ascii="Arial" w:cs="Arial" w:eastAsia="Arial" w:hAnsi="Arial"/>
          <w:sz w:val="18"/>
          <w:szCs w:val="18"/>
          <w:color w:val="282828"/>
        </w:rPr>
        <w:t>"</w:t>
      </w:r>
      <w:r>
        <w:rPr>
          <w:rFonts w:ascii="Arial" w:cs="Arial" w:eastAsia="Arial" w:hAnsi="Arial"/>
          <w:sz w:val="18"/>
          <w:szCs w:val="18"/>
          <w:u w:val="single" w:color="auto"/>
          <w:color w:val="282828"/>
        </w:rPr>
        <w:t>Company Group</w:t>
      </w:r>
      <w:r>
        <w:rPr>
          <w:rFonts w:ascii="Arial" w:cs="Arial" w:eastAsia="Arial" w:hAnsi="Arial"/>
          <w:sz w:val="18"/>
          <w:szCs w:val="18"/>
          <w:color w:val="282828"/>
        </w:rPr>
        <w:t>" means the Company and its subsidiaries and, for so long as the Company is a subsidiary of Holdings, Holdings and its subsidiaries.</w:t>
      </w:r>
    </w:p>
    <w:p>
      <w:pPr>
        <w:spacing w:after="0" w:line="188" w:lineRule="exact"/>
        <w:rPr>
          <w:rFonts w:ascii="Arial" w:cs="Arial" w:eastAsia="Arial" w:hAnsi="Arial"/>
          <w:sz w:val="18"/>
          <w:szCs w:val="18"/>
          <w:color w:val="282828"/>
        </w:rPr>
      </w:pPr>
    </w:p>
    <w:p>
      <w:pPr>
        <w:jc w:val="both"/>
        <w:ind w:firstLine="656"/>
        <w:spacing w:after="0" w:line="222" w:lineRule="auto"/>
        <w:tabs>
          <w:tab w:leader="none" w:pos="916" w:val="left"/>
        </w:tabs>
        <w:numPr>
          <w:ilvl w:val="1"/>
          <w:numId w:val="28"/>
        </w:numPr>
        <w:rPr>
          <w:rFonts w:ascii="Arial" w:cs="Arial" w:eastAsia="Arial" w:hAnsi="Arial"/>
          <w:sz w:val="17"/>
          <w:szCs w:val="17"/>
          <w:color w:val="282828"/>
        </w:rPr>
      </w:pPr>
      <w:r>
        <w:rPr>
          <w:rFonts w:ascii="Arial" w:cs="Arial" w:eastAsia="Arial" w:hAnsi="Arial"/>
          <w:sz w:val="17"/>
          <w:szCs w:val="17"/>
          <w:color w:val="282828"/>
        </w:rPr>
        <w:t>"</w:t>
      </w:r>
      <w:r>
        <w:rPr>
          <w:rFonts w:ascii="Arial" w:cs="Arial" w:eastAsia="Arial" w:hAnsi="Arial"/>
          <w:sz w:val="17"/>
          <w:szCs w:val="17"/>
          <w:u w:val="single" w:color="auto"/>
          <w:color w:val="282828"/>
        </w:rPr>
        <w:t>Disability</w:t>
      </w:r>
      <w:r>
        <w:rPr>
          <w:rFonts w:ascii="Arial" w:cs="Arial" w:eastAsia="Arial" w:hAnsi="Arial"/>
          <w:sz w:val="17"/>
          <w:szCs w:val="17"/>
          <w:color w:val="282828"/>
        </w:rPr>
        <w:t>" shall mean Executive's inability to perform the essential duties, responsibilities and functions of Executive's position with the Company and its subsidiaries for such period as entitles Executive to monthly income replacement benefits under the Company's long-term disability plan in which Executive participates; provided, if there shall not be such a plan in which Executive is a participant, such period shall be for 90 consecutive days or for a total of 180 days during any 12-month period as a result of any mental or physical illness, disability or incapacity even with reasonable accommodations for such illness, disability or incapacity provided by the Company and its subsidiaries or if providing such accommodations would be unreasonable, all as determined by the Board in its reasonable good faith judgment. Executive shall cooperate in all respects with the Company if a question arises as to whether Executive has become disabled (including, without limitation, submitting to reasonable examinations by one or more medical doctors and other health care specialists selected by the Company and authorizing such medical doctors and other health care specialists to discuss Executive's condition with the Company).</w:t>
      </w:r>
    </w:p>
    <w:p>
      <w:pPr>
        <w:spacing w:after="0" w:line="208" w:lineRule="exact"/>
        <w:rPr>
          <w:rFonts w:ascii="Arial" w:cs="Arial" w:eastAsia="Arial" w:hAnsi="Arial"/>
          <w:sz w:val="17"/>
          <w:szCs w:val="17"/>
          <w:color w:val="282828"/>
        </w:rPr>
      </w:pPr>
    </w:p>
    <w:p>
      <w:pPr>
        <w:ind w:left="920" w:hanging="264"/>
        <w:spacing w:after="0"/>
        <w:tabs>
          <w:tab w:leader="none" w:pos="920" w:val="left"/>
        </w:tabs>
        <w:numPr>
          <w:ilvl w:val="1"/>
          <w:numId w:val="28"/>
        </w:numPr>
        <w:rPr>
          <w:rFonts w:ascii="Arial" w:cs="Arial" w:eastAsia="Arial" w:hAnsi="Arial"/>
          <w:sz w:val="18"/>
          <w:szCs w:val="18"/>
          <w:color w:val="282828"/>
        </w:rPr>
      </w:pPr>
      <w:r>
        <w:rPr>
          <w:rFonts w:ascii="Arial" w:cs="Arial" w:eastAsia="Arial" w:hAnsi="Arial"/>
          <w:sz w:val="18"/>
          <w:szCs w:val="18"/>
          <w:color w:val="282828"/>
        </w:rPr>
        <w:t>"</w:t>
      </w:r>
      <w:r>
        <w:rPr>
          <w:rFonts w:ascii="Arial" w:cs="Arial" w:eastAsia="Arial" w:hAnsi="Arial"/>
          <w:sz w:val="18"/>
          <w:szCs w:val="18"/>
          <w:u w:val="single" w:color="auto"/>
          <w:color w:val="282828"/>
        </w:rPr>
        <w:t>Holdings</w:t>
      </w:r>
      <w:r>
        <w:rPr>
          <w:rFonts w:ascii="Arial" w:cs="Arial" w:eastAsia="Arial" w:hAnsi="Arial"/>
          <w:sz w:val="18"/>
          <w:szCs w:val="18"/>
          <w:color w:val="282828"/>
        </w:rPr>
        <w:t>" means HC Group Holdings I, LLC, a Delaware limited liability company.</w:t>
      </w:r>
    </w:p>
    <w:p>
      <w:pPr>
        <w:spacing w:after="0" w:line="238" w:lineRule="exact"/>
        <w:rPr>
          <w:rFonts w:ascii="Arial" w:cs="Arial" w:eastAsia="Arial" w:hAnsi="Arial"/>
          <w:sz w:val="18"/>
          <w:szCs w:val="18"/>
          <w:color w:val="282828"/>
        </w:rPr>
      </w:pPr>
    </w:p>
    <w:p>
      <w:pPr>
        <w:ind w:right="60" w:firstLine="656"/>
        <w:spacing w:after="0" w:line="261" w:lineRule="auto"/>
        <w:tabs>
          <w:tab w:leader="none" w:pos="863" w:val="left"/>
        </w:tabs>
        <w:numPr>
          <w:ilvl w:val="1"/>
          <w:numId w:val="28"/>
        </w:numPr>
        <w:rPr>
          <w:rFonts w:ascii="Arial" w:cs="Arial" w:eastAsia="Arial" w:hAnsi="Arial"/>
          <w:sz w:val="18"/>
          <w:szCs w:val="18"/>
          <w:color w:val="282828"/>
        </w:rPr>
      </w:pPr>
      <w:r>
        <w:rPr>
          <w:rFonts w:ascii="Arial" w:cs="Arial" w:eastAsia="Arial" w:hAnsi="Arial"/>
          <w:sz w:val="18"/>
          <w:szCs w:val="18"/>
          <w:color w:val="282828"/>
        </w:rPr>
        <w:t>"</w:t>
      </w:r>
      <w:r>
        <w:rPr>
          <w:rFonts w:ascii="Arial" w:cs="Arial" w:eastAsia="Arial" w:hAnsi="Arial"/>
          <w:sz w:val="18"/>
          <w:szCs w:val="18"/>
          <w:u w:val="single" w:color="auto"/>
          <w:color w:val="282828"/>
        </w:rPr>
        <w:t>LLC Agreement</w:t>
      </w:r>
      <w:r>
        <w:rPr>
          <w:rFonts w:ascii="Arial" w:cs="Arial" w:eastAsia="Arial" w:hAnsi="Arial"/>
          <w:sz w:val="18"/>
          <w:szCs w:val="18"/>
          <w:color w:val="282828"/>
        </w:rPr>
        <w:t>" means the Amended and Restated Limited Liability Company Agreement of Holdings, dated as of April 7, 2015, among the parties from time to time party thereto, as further amended from time to time pursuant to its terms.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 xml:space="preserve">Section 5. </w:t>
      </w:r>
      <w:r>
        <w:rPr>
          <w:rFonts w:ascii="Arial" w:cs="Arial" w:eastAsia="Arial" w:hAnsi="Arial"/>
          <w:sz w:val="18"/>
          <w:szCs w:val="18"/>
          <w:u w:val="single" w:color="auto"/>
          <w:color w:val="282828"/>
        </w:rPr>
        <w:t>Confidential Information</w:t>
      </w:r>
      <w:r>
        <w:rPr>
          <w:rFonts w:ascii="Arial" w:cs="Arial" w:eastAsia="Arial" w:hAnsi="Arial"/>
          <w:sz w:val="18"/>
          <w:szCs w:val="18"/>
          <w:color w:val="282828"/>
        </w:rPr>
        <w:t>.</w:t>
      </w:r>
    </w:p>
    <w:p>
      <w:pPr>
        <w:spacing w:after="0" w:line="225" w:lineRule="exact"/>
        <w:rPr>
          <w:sz w:val="20"/>
          <w:szCs w:val="20"/>
          <w:color w:val="auto"/>
        </w:rPr>
      </w:pPr>
    </w:p>
    <w:p>
      <w:pPr>
        <w:jc w:val="both"/>
        <w:ind w:firstLine="656"/>
        <w:spacing w:after="0" w:line="221" w:lineRule="auto"/>
        <w:tabs>
          <w:tab w:leader="none" w:pos="909" w:val="left"/>
        </w:tabs>
        <w:numPr>
          <w:ilvl w:val="0"/>
          <w:numId w:val="29"/>
        </w:numPr>
        <w:rPr>
          <w:rFonts w:ascii="Arial" w:cs="Arial" w:eastAsia="Arial" w:hAnsi="Arial"/>
          <w:sz w:val="17"/>
          <w:szCs w:val="17"/>
          <w:color w:val="282828"/>
        </w:rPr>
      </w:pPr>
      <w:r>
        <w:rPr>
          <w:rFonts w:ascii="Arial" w:cs="Arial" w:eastAsia="Arial" w:hAnsi="Arial"/>
          <w:sz w:val="17"/>
          <w:szCs w:val="17"/>
          <w:color w:val="282828"/>
        </w:rPr>
        <w:t>Executive acknowledges that the information, observations and data (including trade secrets) obtained by Executive while employed by the Company Group both before and after the date of this Agreement concerning the business or affairs of the Company Group ("</w:t>
      </w:r>
      <w:r>
        <w:rPr>
          <w:rFonts w:ascii="Arial" w:cs="Arial" w:eastAsia="Arial" w:hAnsi="Arial"/>
          <w:sz w:val="17"/>
          <w:szCs w:val="17"/>
          <w:u w:val="single" w:color="auto"/>
          <w:color w:val="282828"/>
        </w:rPr>
        <w:t>Confidential Information</w:t>
      </w:r>
      <w:r>
        <w:rPr>
          <w:rFonts w:ascii="Arial" w:cs="Arial" w:eastAsia="Arial" w:hAnsi="Arial"/>
          <w:sz w:val="17"/>
          <w:szCs w:val="17"/>
          <w:color w:val="282828"/>
        </w:rPr>
        <w:t>") are the property of the Company Group. In addition, Executive shall not disclose to any person or entity or use for Executive's own purposes any Confidential Information or any confidential or proprietary information of other persons or entities in the possession of the Company Group ("</w:t>
      </w:r>
      <w:r>
        <w:rPr>
          <w:rFonts w:ascii="Arial" w:cs="Arial" w:eastAsia="Arial" w:hAnsi="Arial"/>
          <w:sz w:val="17"/>
          <w:szCs w:val="17"/>
          <w:u w:val="single" w:color="auto"/>
          <w:color w:val="282828"/>
        </w:rPr>
        <w:t>Third Party</w:t>
      </w:r>
      <w:r>
        <w:rPr>
          <w:rFonts w:ascii="Arial" w:cs="Arial" w:eastAsia="Arial" w:hAnsi="Arial"/>
          <w:sz w:val="17"/>
          <w:szCs w:val="17"/>
          <w:color w:val="282828"/>
        </w:rPr>
        <w:t xml:space="preserve"> </w:t>
      </w:r>
      <w:r>
        <w:rPr>
          <w:rFonts w:ascii="Arial" w:cs="Arial" w:eastAsia="Arial" w:hAnsi="Arial"/>
          <w:sz w:val="17"/>
          <w:szCs w:val="17"/>
          <w:u w:val="single" w:color="auto"/>
          <w:color w:val="282828"/>
        </w:rPr>
        <w:t>Information</w:t>
      </w:r>
      <w:r>
        <w:rPr>
          <w:rFonts w:ascii="Arial" w:cs="Arial" w:eastAsia="Arial" w:hAnsi="Arial"/>
          <w:sz w:val="17"/>
          <w:szCs w:val="17"/>
          <w:color w:val="282828"/>
        </w:rPr>
        <w:t>"), without the prior written consent of the Board except as necessary for Executive to discharge Executive's duties hereunder as determined in Executive's reasonable discretion, unless and to the extent that the Confidential Information or Third Party Information (i) becomes generally known to and available for use by the public other than as a result of Executive's acts or omissions or (ii) is required to be disclosed pursuant to applicable law or a court order or decree (in which case Executive shall give prior written notice to the Company of such disclosure). Executive shall deliver to the Company at the termination or expiration of the Employment Period, or at any other time the Company may reasonably request, all memoranda, notes, plans, records, reports, computer files, disks and tapes, printouts and software and other documents and data (and copies thereof) embodying or relating to Confidential Information, Third Party Information, Work Product or the business of the Company Group which Executive may then possess or have under Executive's control.</w:t>
      </w:r>
    </w:p>
    <w:p>
      <w:pPr>
        <w:spacing w:after="0" w:line="189" w:lineRule="exact"/>
        <w:rPr>
          <w:rFonts w:ascii="Arial" w:cs="Arial" w:eastAsia="Arial" w:hAnsi="Arial"/>
          <w:sz w:val="17"/>
          <w:szCs w:val="17"/>
          <w:color w:val="282828"/>
        </w:rPr>
      </w:pPr>
    </w:p>
    <w:p>
      <w:pPr>
        <w:jc w:val="both"/>
        <w:ind w:firstLine="656"/>
        <w:spacing w:after="0" w:line="228" w:lineRule="auto"/>
        <w:tabs>
          <w:tab w:leader="none" w:pos="948" w:val="left"/>
        </w:tabs>
        <w:numPr>
          <w:ilvl w:val="0"/>
          <w:numId w:val="29"/>
        </w:numPr>
        <w:rPr>
          <w:rFonts w:ascii="Arial" w:cs="Arial" w:eastAsia="Arial" w:hAnsi="Arial"/>
          <w:sz w:val="17"/>
          <w:szCs w:val="17"/>
          <w:color w:val="282828"/>
        </w:rPr>
      </w:pPr>
      <w:r>
        <w:rPr>
          <w:rFonts w:ascii="Arial" w:cs="Arial" w:eastAsia="Arial" w:hAnsi="Arial"/>
          <w:sz w:val="17"/>
          <w:szCs w:val="17"/>
          <w:color w:val="282828"/>
        </w:rPr>
        <w:t>In connection with rendering services to the Company Group hereunder, Executive shall be prohibited from using or disclosing any confidential information or trade secrets that Executive learned in connection with any prior employment with the Company or its affiliates at such time and that Executive is prohibited from using or disclosing by law or by contract. If at any time during the Employment Period Executive believes that Executive is being asked to engage in work that will, or will be likely to, jeopardize any confidentiality or other obligations Executive may have to former employers, Executive shall immediately advise the Board so that Executive's duties can be modified appropriately.</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282828"/>
        </w:rPr>
        <w:t xml:space="preserve">Section 6. </w:t>
      </w:r>
      <w:r>
        <w:rPr>
          <w:rFonts w:ascii="Arial" w:cs="Arial" w:eastAsia="Arial" w:hAnsi="Arial"/>
          <w:sz w:val="16"/>
          <w:szCs w:val="16"/>
          <w:u w:val="single" w:color="auto"/>
          <w:color w:val="282828"/>
        </w:rPr>
        <w:t>Intellectual Property. Inventions and Patents</w:t>
      </w:r>
      <w:r>
        <w:rPr>
          <w:rFonts w:ascii="Arial" w:cs="Arial" w:eastAsia="Arial" w:hAnsi="Arial"/>
          <w:sz w:val="16"/>
          <w:szCs w:val="16"/>
          <w:color w:val="282828"/>
        </w:rPr>
        <w:t>. Executive acknowledges that all discoveries, concepts, ideas, inventions, innovations, improvements, developments, methods,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the Company Group's actual or anticipated business, research and development or existing or future products or services and which are conceived, developed or made by Executive (whether alone or jointly with others) while employed by the Company or its predecessor and its subsidiaries, whether before or after the date of this Agreement (collectively referred to as "</w:t>
      </w:r>
      <w:r>
        <w:rPr>
          <w:rFonts w:ascii="Arial" w:cs="Arial" w:eastAsia="Arial" w:hAnsi="Arial"/>
          <w:sz w:val="16"/>
          <w:szCs w:val="16"/>
          <w:u w:val="single" w:color="auto"/>
          <w:color w:val="282828"/>
        </w:rPr>
        <w:t>Work Product</w:t>
      </w:r>
      <w:r>
        <w:rPr>
          <w:rFonts w:ascii="Arial" w:cs="Arial" w:eastAsia="Arial" w:hAnsi="Arial"/>
          <w:sz w:val="16"/>
          <w:szCs w:val="16"/>
          <w:color w:val="282828"/>
        </w:rPr>
        <w:t>"), are the property of the Company or such other member of the Company Group. Executive shall promptly disclose such Work Product to the Board and, at the Company's expense, perform all actions reasonably requested by the Board (whether during or after the Employment Period) to establish and confirm such ownership (including, without limitation, executing and delivering assignments, consents, powers of attorney and other instruments). Executive acknowledges that all Work Product shall be deemed to constitute "works made for hire" under the U.S. Copyright Act of 1976, as amended.</w:t>
      </w:r>
    </w:p>
    <w:p>
      <w:pPr>
        <w:sectPr>
          <w:pgSz w:w="11900" w:h="16838" w:orient="portrait"/>
          <w:cols w:equalWidth="0" w:num="1">
            <w:col w:w="11240"/>
          </w:cols>
          <w:pgMar w:left="320" w:top="881" w:right="339" w:bottom="1440" w:gutter="0" w:footer="0" w:header="0"/>
        </w:sectPr>
      </w:pPr>
    </w:p>
    <w:bookmarkStart w:id="92" w:name="page93"/>
    <w:bookmarkEnd w:id="92"/>
    <w:p>
      <w:pPr>
        <w:jc w:val="both"/>
        <w:ind w:firstLine="648"/>
        <w:spacing w:after="0" w:line="216" w:lineRule="auto"/>
        <w:rPr>
          <w:sz w:val="20"/>
          <w:szCs w:val="20"/>
          <w:color w:val="auto"/>
        </w:rPr>
      </w:pPr>
      <w:r>
        <w:rPr>
          <w:rFonts w:ascii="Arial" w:cs="Arial" w:eastAsia="Arial" w:hAnsi="Arial"/>
          <w:sz w:val="18"/>
          <w:szCs w:val="18"/>
          <w:color w:val="282828"/>
        </w:rPr>
        <w:t xml:space="preserve">In accordance with the Illinois Employee Patent Act, Executive is hereby advised that this </w:t>
      </w:r>
      <w:r>
        <w:rPr>
          <w:rFonts w:ascii="Arial" w:cs="Arial" w:eastAsia="Arial" w:hAnsi="Arial"/>
          <w:sz w:val="18"/>
          <w:szCs w:val="18"/>
          <w:u w:val="single" w:color="auto"/>
          <w:color w:val="282828"/>
        </w:rPr>
        <w:t>Section 6</w:t>
      </w:r>
      <w:r>
        <w:rPr>
          <w:rFonts w:ascii="Arial" w:cs="Arial" w:eastAsia="Arial" w:hAnsi="Arial"/>
          <w:sz w:val="18"/>
          <w:szCs w:val="18"/>
          <w:color w:val="282828"/>
        </w:rPr>
        <w:t xml:space="preserve"> regarding the Company Group's ownership of Work Product does not apply to any invention for which no equipment, supplies, facilities or trade secret information of the Company Group was used and which was developed entirely on Executive's own time, unless (i) the invention relates to the business of the Company Group or to any member of the Company Group's actual or demonstrably anticipated research or development or (ii) the invention results from any work performed by Executive for a member of the Company Group.</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 xml:space="preserve">Section 7. </w:t>
      </w:r>
      <w:r>
        <w:rPr>
          <w:rFonts w:ascii="Arial" w:cs="Arial" w:eastAsia="Arial" w:hAnsi="Arial"/>
          <w:sz w:val="18"/>
          <w:szCs w:val="18"/>
          <w:u w:val="single" w:color="auto"/>
          <w:color w:val="282828"/>
        </w:rPr>
        <w:t>Non-Compete. Non-Solicitation</w:t>
      </w:r>
      <w:r>
        <w:rPr>
          <w:rFonts w:ascii="Arial" w:cs="Arial" w:eastAsia="Arial" w:hAnsi="Arial"/>
          <w:sz w:val="18"/>
          <w:szCs w:val="18"/>
          <w:color w:val="282828"/>
        </w:rPr>
        <w:t>.</w:t>
      </w:r>
    </w:p>
    <w:p>
      <w:pPr>
        <w:spacing w:after="0" w:line="225" w:lineRule="exact"/>
        <w:rPr>
          <w:sz w:val="20"/>
          <w:szCs w:val="20"/>
          <w:color w:val="auto"/>
        </w:rPr>
      </w:pPr>
    </w:p>
    <w:p>
      <w:pPr>
        <w:jc w:val="both"/>
        <w:ind w:firstLine="656"/>
        <w:spacing w:after="0" w:line="234" w:lineRule="auto"/>
        <w:tabs>
          <w:tab w:leader="none" w:pos="893" w:val="left"/>
        </w:tabs>
        <w:numPr>
          <w:ilvl w:val="0"/>
          <w:numId w:val="30"/>
        </w:numPr>
        <w:rPr>
          <w:rFonts w:ascii="Arial" w:cs="Arial" w:eastAsia="Arial" w:hAnsi="Arial"/>
          <w:sz w:val="16"/>
          <w:szCs w:val="16"/>
          <w:color w:val="282828"/>
        </w:rPr>
      </w:pPr>
      <w:r>
        <w:rPr>
          <w:rFonts w:ascii="Arial" w:cs="Arial" w:eastAsia="Arial" w:hAnsi="Arial"/>
          <w:sz w:val="16"/>
          <w:szCs w:val="16"/>
          <w:color w:val="282828"/>
        </w:rPr>
        <w:t>As additional consideration for the compensation to be paid to Executive under this Agreement, Executive acknowledges that during the course of Executive's employment with the Company Executive shall have access to and shall become familiar with the Company Group's trade secrets and with other Confidential Information concerning the Company Group and that Executive's services have been and shall continue to be of special, unique and extraordinary value to the Company Group, and therefore, Executive agrees that, during the Employment Period and for 12 months thereafter (the "</w:t>
      </w:r>
      <w:r>
        <w:rPr>
          <w:rFonts w:ascii="Arial" w:cs="Arial" w:eastAsia="Arial" w:hAnsi="Arial"/>
          <w:sz w:val="16"/>
          <w:szCs w:val="16"/>
          <w:u w:val="single" w:color="auto"/>
          <w:color w:val="282828"/>
        </w:rPr>
        <w:t>Non-compete Period</w:t>
      </w:r>
      <w:r>
        <w:rPr>
          <w:rFonts w:ascii="Arial" w:cs="Arial" w:eastAsia="Arial" w:hAnsi="Arial"/>
          <w:sz w:val="16"/>
          <w:szCs w:val="16"/>
          <w:color w:val="282828"/>
        </w:rPr>
        <w:t>"), Executive shall not directly or indirectly own any interest in, manage, control, participate in, consult with, render services for, be employed by, or in any manner engage in, any person, business or entity that engages in the Business or is otherwise competing with the Company Group as such businesses exist or are substantially in process on the date of the termination of the Employment Period, within any geographical area in which a member of the Company Group engages or substantially plans to engage in such businesses. Nothing herein shall prohibit Executive from being a passive owner of not more than 2% of the outstanding stock of any class of a corporation which is publicly traded, so long as Executive has no active participation in the business of such corporation. For purposes of this Agreement, "</w:t>
      </w:r>
      <w:r>
        <w:rPr>
          <w:rFonts w:ascii="Arial" w:cs="Arial" w:eastAsia="Arial" w:hAnsi="Arial"/>
          <w:sz w:val="16"/>
          <w:szCs w:val="16"/>
          <w:u w:val="single" w:color="auto"/>
          <w:color w:val="282828"/>
        </w:rPr>
        <w:t>Business</w:t>
      </w:r>
      <w:r>
        <w:rPr>
          <w:rFonts w:ascii="Arial" w:cs="Arial" w:eastAsia="Arial" w:hAnsi="Arial"/>
          <w:sz w:val="16"/>
          <w:szCs w:val="16"/>
          <w:color w:val="282828"/>
        </w:rPr>
        <w:t>" shall mean the business carried on by the Company Group from time to time, and which shall include the business of providing (i) infusion therapy to patients in their homes or in an ambulatory infusion suite, (ii) case coordination services for home infusion therapy and (iii) home infusion network management services.</w:t>
      </w:r>
    </w:p>
    <w:p>
      <w:pPr>
        <w:spacing w:after="0" w:line="196" w:lineRule="exact"/>
        <w:rPr>
          <w:rFonts w:ascii="Arial" w:cs="Arial" w:eastAsia="Arial" w:hAnsi="Arial"/>
          <w:sz w:val="16"/>
          <w:szCs w:val="16"/>
          <w:color w:val="282828"/>
        </w:rPr>
      </w:pPr>
    </w:p>
    <w:p>
      <w:pPr>
        <w:jc w:val="both"/>
        <w:ind w:firstLine="656"/>
        <w:spacing w:after="0" w:line="227" w:lineRule="auto"/>
        <w:tabs>
          <w:tab w:leader="none" w:pos="912" w:val="left"/>
        </w:tabs>
        <w:numPr>
          <w:ilvl w:val="0"/>
          <w:numId w:val="30"/>
        </w:numPr>
        <w:rPr>
          <w:rFonts w:ascii="Arial" w:cs="Arial" w:eastAsia="Arial" w:hAnsi="Arial"/>
          <w:sz w:val="18"/>
          <w:szCs w:val="18"/>
          <w:color w:val="282828"/>
        </w:rPr>
      </w:pPr>
      <w:r>
        <w:rPr>
          <w:rFonts w:ascii="Arial" w:cs="Arial" w:eastAsia="Arial" w:hAnsi="Arial"/>
          <w:sz w:val="18"/>
          <w:szCs w:val="18"/>
          <w:color w:val="282828"/>
        </w:rPr>
        <w:t>In addition, during the Non-compete Period, Executive shall not directly or indirectly through another person, business or entity (i) induce or attempt to induce any employee of the Company Group to leave the employ of the Company Group, or in any way interfere with the relationship between the Company Group and any employee thereof, (ii) hire any person who was an employee of the Company Group at any time during the Employment Period or (iii) induce or attempt to induce any customer, supplier, licensee, licensor, franchisee or other business relation of the Company Group to cease doing business with the Company Group, or in any way interfere with the relationship between any such customer, supplier, licensee or business relation and the Company Group.</w:t>
      </w:r>
    </w:p>
    <w:p>
      <w:pPr>
        <w:spacing w:after="0" w:line="202" w:lineRule="exact"/>
        <w:rPr>
          <w:rFonts w:ascii="Arial" w:cs="Arial" w:eastAsia="Arial" w:hAnsi="Arial"/>
          <w:sz w:val="18"/>
          <w:szCs w:val="18"/>
          <w:color w:val="282828"/>
        </w:rPr>
      </w:pPr>
    </w:p>
    <w:p>
      <w:pPr>
        <w:jc w:val="both"/>
        <w:ind w:firstLine="656"/>
        <w:spacing w:after="0"/>
        <w:tabs>
          <w:tab w:leader="none" w:pos="898" w:val="left"/>
        </w:tabs>
        <w:numPr>
          <w:ilvl w:val="0"/>
          <w:numId w:val="30"/>
        </w:numPr>
        <w:rPr>
          <w:rFonts w:ascii="Arial" w:cs="Arial" w:eastAsia="Arial" w:hAnsi="Arial"/>
          <w:sz w:val="17"/>
          <w:szCs w:val="17"/>
          <w:color w:val="282828"/>
        </w:rPr>
      </w:pPr>
      <w:r>
        <w:rPr>
          <w:rFonts w:ascii="Arial" w:cs="Arial" w:eastAsia="Arial" w:hAnsi="Arial"/>
          <w:sz w:val="17"/>
          <w:szCs w:val="17"/>
          <w:color w:val="282828"/>
        </w:rPr>
        <w:t>During the Non-compete Period, Executive shall not make any negative or disparaging statements or communications regarding the Company Group or any of their officers, directors or employees, and no member of the Board or the Holdings board of directors ("</w:t>
      </w:r>
      <w:r>
        <w:rPr>
          <w:rFonts w:ascii="Arial" w:cs="Arial" w:eastAsia="Arial" w:hAnsi="Arial"/>
          <w:sz w:val="17"/>
          <w:szCs w:val="17"/>
          <w:u w:val="single" w:color="auto"/>
          <w:color w:val="282828"/>
        </w:rPr>
        <w:t>Holdings Board</w:t>
      </w:r>
      <w:r>
        <w:rPr>
          <w:rFonts w:ascii="Arial" w:cs="Arial" w:eastAsia="Arial" w:hAnsi="Arial"/>
          <w:sz w:val="17"/>
          <w:szCs w:val="17"/>
          <w:color w:val="282828"/>
        </w:rPr>
        <w:t xml:space="preserve">") shall make any negative or disparaging statements or communications regarding Executive; </w:t>
      </w:r>
      <w:r>
        <w:rPr>
          <w:rFonts w:ascii="Arial" w:cs="Arial" w:eastAsia="Arial" w:hAnsi="Arial"/>
          <w:sz w:val="17"/>
          <w:szCs w:val="17"/>
          <w:u w:val="single" w:color="auto"/>
          <w:color w:val="282828"/>
        </w:rPr>
        <w:t>provided,</w:t>
      </w:r>
      <w:r>
        <w:rPr>
          <w:rFonts w:ascii="Arial" w:cs="Arial" w:eastAsia="Arial" w:hAnsi="Arial"/>
          <w:sz w:val="17"/>
          <w:szCs w:val="17"/>
          <w:color w:val="282828"/>
        </w:rPr>
        <w:t xml:space="preserve"> however, that nothing in this </w:t>
      </w:r>
      <w:r>
        <w:rPr>
          <w:rFonts w:ascii="Arial" w:cs="Arial" w:eastAsia="Arial" w:hAnsi="Arial"/>
          <w:sz w:val="17"/>
          <w:szCs w:val="17"/>
          <w:u w:val="single" w:color="auto"/>
          <w:color w:val="282828"/>
        </w:rPr>
        <w:t>Section 7(c)</w:t>
      </w:r>
      <w:r>
        <w:rPr>
          <w:rFonts w:ascii="Arial" w:cs="Arial" w:eastAsia="Arial" w:hAnsi="Arial"/>
          <w:sz w:val="17"/>
          <w:szCs w:val="17"/>
          <w:color w:val="282828"/>
        </w:rPr>
        <w:t xml:space="preserve"> shall prevent Executive from providing truthful testimony or information in any proceeding or in response to any request from any governmental agency, or judicial, arbitral or self-regulatory forum, nor prevent the Company Group from assessing Executive's performance and sharing such information with Company Group employees and members of the Board or Holdings Board who have a need to know such information.</w:t>
      </w:r>
    </w:p>
    <w:p>
      <w:pPr>
        <w:spacing w:after="0" w:line="204" w:lineRule="exact"/>
        <w:rPr>
          <w:rFonts w:ascii="Arial" w:cs="Arial" w:eastAsia="Arial" w:hAnsi="Arial"/>
          <w:sz w:val="17"/>
          <w:szCs w:val="17"/>
          <w:color w:val="282828"/>
        </w:rPr>
      </w:pPr>
    </w:p>
    <w:p>
      <w:pPr>
        <w:jc w:val="both"/>
        <w:ind w:firstLine="656"/>
        <w:spacing w:after="0" w:line="228" w:lineRule="auto"/>
        <w:tabs>
          <w:tab w:leader="none" w:pos="916" w:val="left"/>
        </w:tabs>
        <w:numPr>
          <w:ilvl w:val="0"/>
          <w:numId w:val="30"/>
        </w:numPr>
        <w:rPr>
          <w:rFonts w:ascii="Arial" w:cs="Arial" w:eastAsia="Arial" w:hAnsi="Arial"/>
          <w:sz w:val="18"/>
          <w:szCs w:val="18"/>
          <w:color w:val="282828"/>
        </w:rPr>
      </w:pPr>
      <w:r>
        <w:rPr>
          <w:rFonts w:ascii="Arial" w:cs="Arial" w:eastAsia="Arial" w:hAnsi="Arial"/>
          <w:sz w:val="18"/>
          <w:szCs w:val="18"/>
          <w:color w:val="282828"/>
        </w:rPr>
        <w:t xml:space="preserve">If, at the time of enforcement of this </w:t>
      </w:r>
      <w:r>
        <w:rPr>
          <w:rFonts w:ascii="Arial" w:cs="Arial" w:eastAsia="Arial" w:hAnsi="Arial"/>
          <w:sz w:val="18"/>
          <w:szCs w:val="18"/>
          <w:u w:val="single" w:color="auto"/>
          <w:color w:val="282828"/>
        </w:rPr>
        <w:t>Section 7,</w:t>
      </w:r>
      <w:r>
        <w:rPr>
          <w:rFonts w:ascii="Arial" w:cs="Arial" w:eastAsia="Arial" w:hAnsi="Arial"/>
          <w:sz w:val="18"/>
          <w:szCs w:val="18"/>
          <w:color w:val="282828"/>
        </w:rPr>
        <w:t xml:space="preserve"> a court shall hold that the duration, scope or area restrictions stated herein are unreasonable under circumstances then existing, the parties agree that the maximum duration, scope or geographical area reasonable under such circumstances shall be substituted for the stated duration, scope or area and that the court shall be allowed to revise the restrictions contained herein to cover the maximum period, scope and area permitted by law. Executive acknowledges that the restrictions contained in this </w:t>
      </w:r>
      <w:r>
        <w:rPr>
          <w:rFonts w:ascii="Arial" w:cs="Arial" w:eastAsia="Arial" w:hAnsi="Arial"/>
          <w:sz w:val="18"/>
          <w:szCs w:val="18"/>
          <w:u w:val="single" w:color="auto"/>
          <w:color w:val="282828"/>
        </w:rPr>
        <w:t>Section 7</w:t>
      </w:r>
      <w:r>
        <w:rPr>
          <w:rFonts w:ascii="Arial" w:cs="Arial" w:eastAsia="Arial" w:hAnsi="Arial"/>
          <w:sz w:val="18"/>
          <w:szCs w:val="18"/>
          <w:color w:val="282828"/>
        </w:rPr>
        <w:t xml:space="preserve"> are reasonable and that Executive has reviewed the provisions of this Agreement with Executive's legal counsel.</w:t>
      </w:r>
    </w:p>
    <w:p>
      <w:pPr>
        <w:spacing w:after="0" w:line="204" w:lineRule="exact"/>
        <w:rPr>
          <w:rFonts w:ascii="Arial" w:cs="Arial" w:eastAsia="Arial" w:hAnsi="Arial"/>
          <w:sz w:val="18"/>
          <w:szCs w:val="18"/>
          <w:color w:val="282828"/>
        </w:rPr>
      </w:pPr>
    </w:p>
    <w:p>
      <w:pPr>
        <w:jc w:val="both"/>
        <w:ind w:firstLine="656"/>
        <w:spacing w:after="0" w:line="227" w:lineRule="auto"/>
        <w:tabs>
          <w:tab w:leader="none" w:pos="908" w:val="left"/>
        </w:tabs>
        <w:numPr>
          <w:ilvl w:val="0"/>
          <w:numId w:val="30"/>
        </w:numPr>
        <w:rPr>
          <w:rFonts w:ascii="Arial" w:cs="Arial" w:eastAsia="Arial" w:hAnsi="Arial"/>
          <w:sz w:val="18"/>
          <w:szCs w:val="18"/>
          <w:color w:val="282828"/>
        </w:rPr>
      </w:pPr>
      <w:r>
        <w:rPr>
          <w:rFonts w:ascii="Arial" w:cs="Arial" w:eastAsia="Arial" w:hAnsi="Arial"/>
          <w:sz w:val="18"/>
          <w:szCs w:val="18"/>
          <w:color w:val="282828"/>
        </w:rPr>
        <w:t xml:space="preserve">In the event of the breach or a threatened breach by Executive of any of the provisions of this </w:t>
      </w:r>
      <w:r>
        <w:rPr>
          <w:rFonts w:ascii="Arial" w:cs="Arial" w:eastAsia="Arial" w:hAnsi="Arial"/>
          <w:sz w:val="18"/>
          <w:szCs w:val="18"/>
          <w:u w:val="single" w:color="auto"/>
          <w:color w:val="282828"/>
        </w:rPr>
        <w:t>Section 7,</w:t>
      </w:r>
      <w:r>
        <w:rPr>
          <w:rFonts w:ascii="Arial" w:cs="Arial" w:eastAsia="Arial" w:hAnsi="Arial"/>
          <w:sz w:val="18"/>
          <w:szCs w:val="18"/>
          <w:color w:val="282828"/>
        </w:rPr>
        <w:t xml:space="preserve"> the Company Group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Executive of this </w:t>
      </w:r>
      <w:r>
        <w:rPr>
          <w:rFonts w:ascii="Arial" w:cs="Arial" w:eastAsia="Arial" w:hAnsi="Arial"/>
          <w:sz w:val="18"/>
          <w:szCs w:val="18"/>
          <w:u w:val="single" w:color="auto"/>
          <w:color w:val="282828"/>
        </w:rPr>
        <w:t>Section 7,</w:t>
      </w:r>
      <w:r>
        <w:rPr>
          <w:rFonts w:ascii="Arial" w:cs="Arial" w:eastAsia="Arial" w:hAnsi="Arial"/>
          <w:sz w:val="18"/>
          <w:szCs w:val="18"/>
          <w:color w:val="282828"/>
        </w:rPr>
        <w:t xml:space="preserve"> the Non-compete Period shall be extended automatically by the amount of time between the initial occurrence of the breach or violation and when such breach or violation has been duly cured.</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282828"/>
        </w:rPr>
        <w:t xml:space="preserve">Section 8. </w:t>
      </w:r>
      <w:r>
        <w:rPr>
          <w:rFonts w:ascii="Arial" w:cs="Arial" w:eastAsia="Arial" w:hAnsi="Arial"/>
          <w:sz w:val="16"/>
          <w:szCs w:val="16"/>
          <w:u w:val="single" w:color="auto"/>
          <w:color w:val="282828"/>
        </w:rPr>
        <w:t>Additional Acknowledgments</w:t>
      </w:r>
      <w:r>
        <w:rPr>
          <w:rFonts w:ascii="Arial" w:cs="Arial" w:eastAsia="Arial" w:hAnsi="Arial"/>
          <w:sz w:val="16"/>
          <w:szCs w:val="16"/>
          <w:color w:val="282828"/>
        </w:rPr>
        <w:t xml:space="preserve">. Executive acknowledges that the provisions of </w:t>
      </w:r>
      <w:r>
        <w:rPr>
          <w:rFonts w:ascii="Arial" w:cs="Arial" w:eastAsia="Arial" w:hAnsi="Arial"/>
          <w:sz w:val="16"/>
          <w:szCs w:val="16"/>
          <w:u w:val="single" w:color="auto"/>
          <w:color w:val="282828"/>
        </w:rPr>
        <w:t>Section 5,</w:t>
      </w:r>
      <w:r>
        <w:rPr>
          <w:rFonts w:ascii="Arial" w:cs="Arial" w:eastAsia="Arial" w:hAnsi="Arial"/>
          <w:sz w:val="16"/>
          <w:szCs w:val="16"/>
          <w:color w:val="282828"/>
        </w:rPr>
        <w:t xml:space="preserve"> Section 6 and </w:t>
      </w:r>
      <w:r>
        <w:rPr>
          <w:rFonts w:ascii="Arial" w:cs="Arial" w:eastAsia="Arial" w:hAnsi="Arial"/>
          <w:sz w:val="16"/>
          <w:szCs w:val="16"/>
          <w:u w:val="single" w:color="auto"/>
          <w:color w:val="282828"/>
        </w:rPr>
        <w:t>Section 7</w:t>
      </w:r>
      <w:r>
        <w:rPr>
          <w:rFonts w:ascii="Arial" w:cs="Arial" w:eastAsia="Arial" w:hAnsi="Arial"/>
          <w:sz w:val="16"/>
          <w:szCs w:val="16"/>
          <w:color w:val="282828"/>
        </w:rPr>
        <w:t xml:space="preserve"> are in consideration of employment with the Company, other good and valuable consideration as set forth in this Agreement and the grant of equity in Holdings to Executive pursuant to the Unit Award Agreement. Executive also acknowledges that (i) the restrictions contained in </w:t>
      </w:r>
      <w:r>
        <w:rPr>
          <w:rFonts w:ascii="Arial" w:cs="Arial" w:eastAsia="Arial" w:hAnsi="Arial"/>
          <w:sz w:val="16"/>
          <w:szCs w:val="16"/>
          <w:u w:val="single" w:color="auto"/>
          <w:color w:val="282828"/>
        </w:rPr>
        <w:t>Section 5</w:t>
      </w:r>
      <w:r>
        <w:rPr>
          <w:rFonts w:ascii="Arial" w:cs="Arial" w:eastAsia="Arial" w:hAnsi="Arial"/>
          <w:sz w:val="16"/>
          <w:szCs w:val="16"/>
          <w:color w:val="282828"/>
        </w:rPr>
        <w:t xml:space="preserve">, Section 6 and </w:t>
      </w:r>
      <w:r>
        <w:rPr>
          <w:rFonts w:ascii="Arial" w:cs="Arial" w:eastAsia="Arial" w:hAnsi="Arial"/>
          <w:sz w:val="16"/>
          <w:szCs w:val="16"/>
          <w:u w:val="single" w:color="auto"/>
          <w:color w:val="282828"/>
        </w:rPr>
        <w:t>Section 7</w:t>
      </w:r>
      <w:r>
        <w:rPr>
          <w:rFonts w:ascii="Arial" w:cs="Arial" w:eastAsia="Arial" w:hAnsi="Arial"/>
          <w:sz w:val="16"/>
          <w:szCs w:val="16"/>
          <w:color w:val="282828"/>
        </w:rPr>
        <w:t xml:space="preserve"> do not preclude Executive from earning a livelihood, nor do they unreasonably impose limitations on Executive's ability to earn a living, (ii) the business of the Company Group will be national in scope and (iii) notwithstanding the jurisdiction of formation or principal office of the Company or residence of any of its executives or employees (including Executive), it is expected that the Company Group will have business activities and have valuable business relationships within its industry throughout the United States. Executive agrees and acknowledges that the potential harm to the Company Group resulting from the non-enforcement of </w:t>
      </w:r>
      <w:r>
        <w:rPr>
          <w:rFonts w:ascii="Arial" w:cs="Arial" w:eastAsia="Arial" w:hAnsi="Arial"/>
          <w:sz w:val="16"/>
          <w:szCs w:val="16"/>
          <w:u w:val="single" w:color="auto"/>
          <w:color w:val="282828"/>
        </w:rPr>
        <w:t>Section 5,</w:t>
      </w:r>
      <w:r>
        <w:rPr>
          <w:rFonts w:ascii="Arial" w:cs="Arial" w:eastAsia="Arial" w:hAnsi="Arial"/>
          <w:sz w:val="16"/>
          <w:szCs w:val="16"/>
          <w:color w:val="282828"/>
        </w:rPr>
        <w:t xml:space="preserve"> Section 6 and </w:t>
      </w:r>
      <w:r>
        <w:rPr>
          <w:rFonts w:ascii="Arial" w:cs="Arial" w:eastAsia="Arial" w:hAnsi="Arial"/>
          <w:sz w:val="16"/>
          <w:szCs w:val="16"/>
          <w:u w:val="single" w:color="auto"/>
          <w:color w:val="282828"/>
        </w:rPr>
        <w:t>Section 7</w:t>
      </w:r>
      <w:r>
        <w:rPr>
          <w:rFonts w:ascii="Arial" w:cs="Arial" w:eastAsia="Arial" w:hAnsi="Arial"/>
          <w:sz w:val="16"/>
          <w:szCs w:val="16"/>
          <w:color w:val="282828"/>
        </w:rPr>
        <w:t xml:space="preserve"> outweighs any potential harm to Executive of the enforcement of such provisions by injunction or otherwise. Executive acknowledges that Executive has carefully read this Agreement and has given careful consideration to the restraints</w:t>
      </w:r>
    </w:p>
    <w:p>
      <w:pPr>
        <w:sectPr>
          <w:pgSz w:w="11900" w:h="16838" w:orient="portrait"/>
          <w:cols w:equalWidth="0" w:num="1">
            <w:col w:w="11240"/>
          </w:cols>
          <w:pgMar w:left="320" w:top="881"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17"/>
          <w:szCs w:val="17"/>
          <w:color w:val="282828"/>
        </w:rPr>
        <w:t>imposed upon Executive by this Agreement and is in full agreement regarding their necessity for the reasonable and proper protection of the business goodwill, competitive positions and confidential and proprietary information of the Company Group now existing or to be developed in the future and that each and every restraint imposed by this Agreement is reasonable with respect to subject matter, time period and geographical area.</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282828"/>
        </w:rPr>
        <w:t xml:space="preserve">Section 9. </w:t>
      </w:r>
      <w:r>
        <w:rPr>
          <w:rFonts w:ascii="Arial" w:cs="Arial" w:eastAsia="Arial" w:hAnsi="Arial"/>
          <w:sz w:val="16"/>
          <w:szCs w:val="16"/>
          <w:u w:val="single" w:color="auto"/>
          <w:color w:val="282828"/>
        </w:rPr>
        <w:t>Executive's Representations</w:t>
      </w:r>
      <w:r>
        <w:rPr>
          <w:rFonts w:ascii="Arial" w:cs="Arial" w:eastAsia="Arial" w:hAnsi="Arial"/>
          <w:sz w:val="16"/>
          <w:szCs w:val="16"/>
          <w:color w:val="282828"/>
        </w:rPr>
        <w:t>. Executive hereby represents and warrants to the Company that (i) the execution, delivery and performance of this Agreement by Executive do not and shall not conflict with, breach, violate or cause a default under any contract, agreement, instrument, order, judgment or decree to which Executive is a party or by which Executive is bound, (ii) Other than continuing obligations of confidentiality in Executive's employment agreements with prior employers and a one year post-employment non-compete obligation (through July 24, 2016) in Executive's employment agreement with Catamaran LLC (flea SXC Health Solutions, Inc.). Executive is not a party to or bound by any employment agreement, non-compete agreement or confidentiality agreement with any other person, business or entity or any agreement or contract requiring Executive to assign inventions to another party and (iii) upon the execution and delivery of this Agreement by the Company, this Agreement shall be the valid and binding obligation of Executive, enforceable in accordance with its terms. Executive hereby acknowledges and represents that Executive has consulted with independent legal counsel regarding Executive's rights and obligations under this Agreement and that Executive fully understands the terms and conditions contained herein.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 xml:space="preserve">Section 10. </w:t>
      </w:r>
      <w:r>
        <w:rPr>
          <w:rFonts w:ascii="Arial" w:cs="Arial" w:eastAsia="Arial" w:hAnsi="Arial"/>
          <w:sz w:val="18"/>
          <w:szCs w:val="18"/>
          <w:u w:val="single" w:color="auto"/>
          <w:color w:val="282828"/>
        </w:rPr>
        <w:t>Deferred Compensation Matters.</w:t>
      </w:r>
    </w:p>
    <w:p>
      <w:pPr>
        <w:spacing w:after="0" w:line="225" w:lineRule="exact"/>
        <w:rPr>
          <w:sz w:val="20"/>
          <w:szCs w:val="20"/>
          <w:color w:val="auto"/>
        </w:rPr>
      </w:pPr>
    </w:p>
    <w:p>
      <w:pPr>
        <w:jc w:val="both"/>
        <w:ind w:firstLine="656"/>
        <w:spacing w:after="0" w:line="227" w:lineRule="auto"/>
        <w:tabs>
          <w:tab w:leader="none" w:pos="914" w:val="left"/>
        </w:tabs>
        <w:numPr>
          <w:ilvl w:val="0"/>
          <w:numId w:val="31"/>
        </w:numPr>
        <w:rPr>
          <w:rFonts w:ascii="Arial" w:cs="Arial" w:eastAsia="Arial" w:hAnsi="Arial"/>
          <w:sz w:val="18"/>
          <w:szCs w:val="18"/>
          <w:color w:val="282828"/>
        </w:rPr>
      </w:pPr>
      <w:r>
        <w:rPr>
          <w:rFonts w:ascii="Arial" w:cs="Arial" w:eastAsia="Arial" w:hAnsi="Arial"/>
          <w:sz w:val="18"/>
          <w:szCs w:val="18"/>
          <w:color w:val="282828"/>
        </w:rPr>
        <w:t>It is the intent of the Company and Executive that the payments and benefits under this Agreement shall comply with or be exempt from Internal Revenue Code Section 409A and the regulations and guidance promulgated thereunder (collectively, "</w:t>
      </w:r>
      <w:r>
        <w:rPr>
          <w:rFonts w:ascii="Arial" w:cs="Arial" w:eastAsia="Arial" w:hAnsi="Arial"/>
          <w:sz w:val="18"/>
          <w:szCs w:val="18"/>
          <w:u w:val="single" w:color="auto"/>
          <w:color w:val="282828"/>
        </w:rPr>
        <w:t>Code §409A</w:t>
      </w:r>
      <w:r>
        <w:rPr>
          <w:rFonts w:ascii="Arial" w:cs="Arial" w:eastAsia="Arial" w:hAnsi="Arial"/>
          <w:sz w:val="18"/>
          <w:szCs w:val="18"/>
          <w:color w:val="282828"/>
        </w:rPr>
        <w:t>"), and accordingly, to the maximum extent permitted, this Agreement shall be interpreted to be in compliance with or exempt from Code §409A. Executive agrees and acknowledges that the Company and its respective Subsidiaries make no representations with respect to the application of Code §409A and other tax consequences to any payments hereunder and, by entering into this Agreement, Executive agrees to accept the potential application of Code §409A and the other tax consequences of any payments made hereunder.</w:t>
      </w:r>
    </w:p>
    <w:p>
      <w:pPr>
        <w:spacing w:after="0" w:line="202" w:lineRule="exact"/>
        <w:rPr>
          <w:rFonts w:ascii="Arial" w:cs="Arial" w:eastAsia="Arial" w:hAnsi="Arial"/>
          <w:sz w:val="18"/>
          <w:szCs w:val="18"/>
          <w:color w:val="282828"/>
        </w:rPr>
      </w:pPr>
    </w:p>
    <w:p>
      <w:pPr>
        <w:jc w:val="both"/>
        <w:ind w:firstLine="656"/>
        <w:spacing w:after="0" w:line="221" w:lineRule="auto"/>
        <w:tabs>
          <w:tab w:leader="none" w:pos="909" w:val="left"/>
        </w:tabs>
        <w:numPr>
          <w:ilvl w:val="0"/>
          <w:numId w:val="31"/>
        </w:numPr>
        <w:rPr>
          <w:rFonts w:ascii="Arial" w:cs="Arial" w:eastAsia="Arial" w:hAnsi="Arial"/>
          <w:sz w:val="17"/>
          <w:szCs w:val="17"/>
          <w:color w:val="282828"/>
        </w:rPr>
      </w:pPr>
      <w:r>
        <w:rPr>
          <w:rFonts w:ascii="Arial" w:cs="Arial" w:eastAsia="Arial" w:hAnsi="Arial"/>
          <w:sz w:val="17"/>
          <w:szCs w:val="17"/>
          <w:color w:val="282828"/>
        </w:rPr>
        <w:t xml:space="preserve">A termination of the Employment Period shall not be deemed to have occurred for purposes of any provision of this Agreement providing for the payment of any amounts or benefits upon or following a termination of employment unless such termination is also a "separation from service" within the meaning of Code §409A, and for purposes of any such provision of this Agreement, references to a "termination", "termination of the Employment Period", "termination of employment" or similar terms shall mean "separation from service." Notwithstanding anything to the contrary in this Agreement, if Executive is deemed on the date of termination to be a "specified employee" within the meaning of that term under Code §409A(a)(2)(B), then with regard to any payment or the provision of any benefit that is considered deferred compensation under Code §409A payable on account of a "separation from service," such payment or benefit shall not be made or provided until the date which is the earlier of (A) the expiration of the six (6)-month period measured from the date of such "separation from service" of Executive, and (B) the date of the Executive's death, to the extent required under Code Section 409A. Upon the expiration of the foregoing delay period, all payments and benefits delayed pursuant to this </w:t>
      </w:r>
      <w:r>
        <w:rPr>
          <w:rFonts w:ascii="Arial" w:cs="Arial" w:eastAsia="Arial" w:hAnsi="Arial"/>
          <w:sz w:val="17"/>
          <w:szCs w:val="17"/>
          <w:u w:val="single" w:color="auto"/>
          <w:color w:val="282828"/>
        </w:rPr>
        <w:t>Section lO(b)</w:t>
      </w:r>
      <w:r>
        <w:rPr>
          <w:rFonts w:ascii="Arial" w:cs="Arial" w:eastAsia="Arial" w:hAnsi="Arial"/>
          <w:sz w:val="17"/>
          <w:szCs w:val="17"/>
          <w:color w:val="282828"/>
        </w:rPr>
        <w:t xml:space="preserve">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89" w:lineRule="exact"/>
        <w:rPr>
          <w:rFonts w:ascii="Arial" w:cs="Arial" w:eastAsia="Arial" w:hAnsi="Arial"/>
          <w:sz w:val="17"/>
          <w:szCs w:val="17"/>
          <w:color w:val="282828"/>
        </w:rPr>
      </w:pPr>
    </w:p>
    <w:p>
      <w:pPr>
        <w:jc w:val="both"/>
        <w:ind w:firstLine="656"/>
        <w:spacing w:after="0" w:line="228" w:lineRule="auto"/>
        <w:tabs>
          <w:tab w:leader="none" w:pos="903" w:val="left"/>
        </w:tabs>
        <w:numPr>
          <w:ilvl w:val="0"/>
          <w:numId w:val="31"/>
        </w:numPr>
        <w:rPr>
          <w:rFonts w:ascii="Arial" w:cs="Arial" w:eastAsia="Arial" w:hAnsi="Arial"/>
          <w:sz w:val="17"/>
          <w:szCs w:val="17"/>
          <w:color w:val="282828"/>
        </w:rPr>
      </w:pPr>
      <w:r>
        <w:rPr>
          <w:rFonts w:ascii="Arial" w:cs="Arial" w:eastAsia="Arial" w:hAnsi="Arial"/>
          <w:sz w:val="17"/>
          <w:szCs w:val="17"/>
          <w:color w:val="282828"/>
        </w:rPr>
        <w:t>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92" w:lineRule="exact"/>
        <w:rPr>
          <w:rFonts w:ascii="Arial" w:cs="Arial" w:eastAsia="Arial" w:hAnsi="Arial"/>
          <w:sz w:val="17"/>
          <w:szCs w:val="17"/>
          <w:color w:val="282828"/>
        </w:rPr>
      </w:pPr>
    </w:p>
    <w:p>
      <w:pPr>
        <w:jc w:val="both"/>
        <w:ind w:firstLine="656"/>
        <w:spacing w:after="0" w:line="214" w:lineRule="auto"/>
        <w:tabs>
          <w:tab w:leader="none" w:pos="918" w:val="left"/>
        </w:tabs>
        <w:numPr>
          <w:ilvl w:val="0"/>
          <w:numId w:val="31"/>
        </w:numPr>
        <w:rPr>
          <w:rFonts w:ascii="Arial" w:cs="Arial" w:eastAsia="Arial" w:hAnsi="Arial"/>
          <w:sz w:val="18"/>
          <w:szCs w:val="18"/>
          <w:color w:val="282828"/>
        </w:rPr>
      </w:pPr>
      <w:r>
        <w:rPr>
          <w:rFonts w:ascii="Arial" w:cs="Arial" w:eastAsia="Arial" w:hAnsi="Arial"/>
          <w:sz w:val="18"/>
          <w:szCs w:val="18"/>
          <w:color w:val="282828"/>
        </w:rPr>
        <w:t xml:space="preserve">For purposes of Code §409A, Executive's right to receive any installment payment pursuant to this Agreement shall be treated as a right to receive a series of separate and distinct payments. Whenever a payment under this Agreement specifies a payment period with reference to a number of days </w:t>
      </w:r>
      <w:r>
        <w:rPr>
          <w:rFonts w:ascii="Arial" w:cs="Arial" w:eastAsia="Arial" w:hAnsi="Arial"/>
          <w:sz w:val="18"/>
          <w:szCs w:val="18"/>
          <w:i w:val="1"/>
          <w:iCs w:val="1"/>
          <w:color w:val="282828"/>
        </w:rPr>
        <w:t>(e.g.,</w:t>
      </w:r>
      <w:r>
        <w:rPr>
          <w:rFonts w:ascii="Arial" w:cs="Arial" w:eastAsia="Arial" w:hAnsi="Arial"/>
          <w:sz w:val="18"/>
          <w:szCs w:val="18"/>
          <w:color w:val="282828"/>
        </w:rPr>
        <w:t xml:space="preserve"> "payment shall be made within 30 days following the date of termination"), the actual date of payment within the specified period shall be within the Company's sole discretion. Notwithstanding any other provision of this Agreement to the contrary, in no event shall any payment under this Agreement that constitutes "non-qualified deferred compensation" for purposes of Code §409A be subject to offset, counterclaim or recoupment by any other amount unless otherwise permitted by Code §409A.</w:t>
      </w:r>
    </w:p>
    <w:p>
      <w:pPr>
        <w:spacing w:after="0" w:line="18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282828"/>
        </w:rPr>
        <w:t xml:space="preserve">Section 11. </w:t>
      </w:r>
      <w:r>
        <w:rPr>
          <w:rFonts w:ascii="Arial" w:cs="Arial" w:eastAsia="Arial" w:hAnsi="Arial"/>
          <w:sz w:val="18"/>
          <w:szCs w:val="18"/>
          <w:u w:val="single" w:color="auto"/>
          <w:color w:val="282828"/>
        </w:rPr>
        <w:t>Survival</w:t>
      </w:r>
      <w:r>
        <w:rPr>
          <w:rFonts w:ascii="Arial" w:cs="Arial" w:eastAsia="Arial" w:hAnsi="Arial"/>
          <w:sz w:val="18"/>
          <w:szCs w:val="18"/>
          <w:color w:val="282828"/>
        </w:rPr>
        <w:t xml:space="preserve">. Section 4 through </w:t>
      </w:r>
      <w:r>
        <w:rPr>
          <w:rFonts w:ascii="Arial" w:cs="Arial" w:eastAsia="Arial" w:hAnsi="Arial"/>
          <w:sz w:val="18"/>
          <w:szCs w:val="18"/>
          <w:u w:val="single" w:color="auto"/>
          <w:color w:val="282828"/>
        </w:rPr>
        <w:t>Section 24,</w:t>
      </w:r>
      <w:r>
        <w:rPr>
          <w:rFonts w:ascii="Arial" w:cs="Arial" w:eastAsia="Arial" w:hAnsi="Arial"/>
          <w:sz w:val="18"/>
          <w:szCs w:val="18"/>
          <w:color w:val="282828"/>
        </w:rPr>
        <w:t xml:space="preserve"> inclusive, shall survive and continue in full force in accordance with their terms notwithstanding the termination of the Employment Period.</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282828"/>
        </w:rPr>
        <w:t xml:space="preserve">Section 12. </w:t>
      </w:r>
      <w:r>
        <w:rPr>
          <w:rFonts w:ascii="Arial" w:cs="Arial" w:eastAsia="Arial" w:hAnsi="Arial"/>
          <w:sz w:val="16"/>
          <w:szCs w:val="16"/>
          <w:u w:val="single" w:color="auto"/>
          <w:color w:val="282828"/>
        </w:rPr>
        <w:t>Notices.</w:t>
      </w:r>
      <w:r>
        <w:rPr>
          <w:rFonts w:ascii="Arial" w:cs="Arial" w:eastAsia="Arial" w:hAnsi="Arial"/>
          <w:sz w:val="16"/>
          <w:szCs w:val="16"/>
          <w:color w:val="282828"/>
        </w:rPr>
        <w:t xml:space="preserve"> All notices, demands, or other communications to be given or delivered under or by reason of the provisions of this Agreement shall be in writing and shall be deemed to have been given or made (i) when delivered personally to the recipient, (ii) when telecopied to the recipient, or delivered by means of electronic mail (with hard copy sent to the recipient by reputable overnight courier service (charges prepaid) that same day) if telecopied/emailed before 5:00 p.m. Chicago, Illinois time on a business day, and otherwise on the next business day, or (iii) one (1) business day after being sent to the recipient by reputable overnight courier service (charges prepaid). Such notices, demands, and other communications shall</w:t>
      </w:r>
    </w:p>
    <w:p>
      <w:pPr>
        <w:sectPr>
          <w:pgSz w:w="11900" w:h="16838" w:orient="portrait"/>
          <w:cols w:equalWidth="0" w:num="1">
            <w:col w:w="11240"/>
          </w:cols>
          <w:pgMar w:left="320" w:top="881" w:right="339" w:bottom="1440" w:gutter="0" w:footer="0" w:header="0"/>
        </w:sectPr>
      </w:pPr>
    </w:p>
    <w:bookmarkStart w:id="94" w:name="page95"/>
    <w:bookmarkEnd w:id="94"/>
    <w:p>
      <w:pPr>
        <w:jc w:val="both"/>
        <w:spacing w:after="0" w:line="249" w:lineRule="auto"/>
        <w:rPr>
          <w:sz w:val="20"/>
          <w:szCs w:val="20"/>
          <w:color w:val="auto"/>
        </w:rPr>
      </w:pPr>
      <w:r>
        <w:rPr>
          <w:rFonts w:ascii="Arial" w:cs="Arial" w:eastAsia="Arial" w:hAnsi="Arial"/>
          <w:sz w:val="16"/>
          <w:szCs w:val="16"/>
          <w:color w:val="282828"/>
        </w:rPr>
        <w:t>be sent to the Company at the following address and to Executive at Executive's Address or to the address for Executive set forth from time to time in the Company's books and records (and if Executive has notified the Company that he or she is represented by legal counsel in connection with the transactions contemplated hereby, with a copy (which shall not constitute notice) to such counsel's address as listed by Executive on the signature page hereto), or to such other address or to the attention of such other person as the recipient party has specified by prior written notice to the sending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Walgreens Infusion Services, Inc. 1411 Lake Cook Road, MS 321</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Deerfield, Illinois 60015</w:t>
      </w:r>
    </w:p>
    <w:p>
      <w:pPr>
        <w:ind w:left="660"/>
        <w:spacing w:after="0" w:line="219" w:lineRule="auto"/>
        <w:rPr>
          <w:sz w:val="20"/>
          <w:szCs w:val="20"/>
          <w:color w:val="auto"/>
        </w:rPr>
      </w:pPr>
      <w:r>
        <w:rPr>
          <w:rFonts w:ascii="Arial" w:cs="Arial" w:eastAsia="Arial" w:hAnsi="Arial"/>
          <w:sz w:val="18"/>
          <w:szCs w:val="18"/>
          <w:color w:val="282828"/>
        </w:rPr>
        <w:t>Facsimile: 847-964-4678</w:t>
      </w:r>
    </w:p>
    <w:p>
      <w:pPr>
        <w:ind w:left="660"/>
        <w:spacing w:after="0" w:line="219" w:lineRule="auto"/>
        <w:rPr>
          <w:sz w:val="20"/>
          <w:szCs w:val="20"/>
          <w:color w:val="auto"/>
        </w:rPr>
      </w:pPr>
      <w:r>
        <w:rPr>
          <w:rFonts w:ascii="Arial" w:cs="Arial" w:eastAsia="Arial" w:hAnsi="Arial"/>
          <w:sz w:val="18"/>
          <w:szCs w:val="18"/>
          <w:color w:val="282828"/>
        </w:rPr>
        <w:t>Telephone: 847-964-4950</w:t>
      </w:r>
    </w:p>
    <w:p>
      <w:pPr>
        <w:ind w:left="660"/>
        <w:spacing w:after="0" w:line="219" w:lineRule="auto"/>
        <w:rPr>
          <w:sz w:val="20"/>
          <w:szCs w:val="20"/>
          <w:color w:val="auto"/>
        </w:rPr>
      </w:pPr>
      <w:r>
        <w:rPr>
          <w:rFonts w:ascii="Arial" w:cs="Arial" w:eastAsia="Arial" w:hAnsi="Arial"/>
          <w:sz w:val="18"/>
          <w:szCs w:val="18"/>
          <w:color w:val="282828"/>
        </w:rPr>
        <w:t>Electronic mail: Paul Mastrapa</w:t>
      </w:r>
    </w:p>
    <w:p>
      <w:pPr>
        <w:ind w:left="660"/>
        <w:spacing w:after="0"/>
        <w:rPr>
          <w:sz w:val="20"/>
          <w:szCs w:val="20"/>
          <w:color w:val="auto"/>
        </w:rPr>
      </w:pPr>
      <w:r>
        <w:rPr>
          <w:rFonts w:ascii="Arial" w:cs="Arial" w:eastAsia="Arial" w:hAnsi="Arial"/>
          <w:sz w:val="18"/>
          <w:szCs w:val="18"/>
          <w:color w:val="282828"/>
        </w:rPr>
        <w:t>Attention: Chief Executive Officer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282828"/>
        </w:rPr>
        <w:t>with copies to (which shall not constitute notice)</w:t>
      </w:r>
      <w:r>
        <w:rPr>
          <w:rFonts w:ascii="Arial" w:cs="Arial" w:eastAsia="Arial" w:hAnsi="Arial"/>
          <w:sz w:val="18"/>
          <w:szCs w:val="18"/>
          <w:color w:val="282828"/>
        </w:rPr>
        <w:t>: Madison Dearborn Partners, LLC</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Three First National Plaza</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Suite 4600</w:t>
      </w:r>
    </w:p>
    <w:p>
      <w:pPr>
        <w:ind w:left="660"/>
        <w:spacing w:after="0" w:line="234" w:lineRule="auto"/>
        <w:rPr>
          <w:sz w:val="20"/>
          <w:szCs w:val="20"/>
          <w:color w:val="auto"/>
        </w:rPr>
      </w:pPr>
      <w:r>
        <w:rPr>
          <w:rFonts w:ascii="Arial" w:cs="Arial" w:eastAsia="Arial" w:hAnsi="Arial"/>
          <w:sz w:val="18"/>
          <w:szCs w:val="18"/>
          <w:color w:val="282828"/>
        </w:rPr>
        <w:t>Chicago, IL 60602</w:t>
      </w:r>
    </w:p>
    <w:p>
      <w:pPr>
        <w:ind w:left="660"/>
        <w:spacing w:after="0" w:line="235" w:lineRule="auto"/>
        <w:rPr>
          <w:sz w:val="20"/>
          <w:szCs w:val="20"/>
          <w:color w:val="auto"/>
        </w:rPr>
      </w:pPr>
      <w:r>
        <w:rPr>
          <w:rFonts w:ascii="Arial" w:cs="Arial" w:eastAsia="Arial" w:hAnsi="Arial"/>
          <w:sz w:val="18"/>
          <w:szCs w:val="18"/>
          <w:color w:val="282828"/>
        </w:rPr>
        <w:t>Facsimile: (312) 895-1001</w:t>
      </w:r>
    </w:p>
    <w:p>
      <w:pPr>
        <w:ind w:left="660"/>
        <w:spacing w:after="0" w:line="219" w:lineRule="auto"/>
        <w:rPr>
          <w:sz w:val="20"/>
          <w:szCs w:val="20"/>
          <w:color w:val="auto"/>
        </w:rPr>
      </w:pPr>
      <w:r>
        <w:rPr>
          <w:rFonts w:ascii="Arial" w:cs="Arial" w:eastAsia="Arial" w:hAnsi="Arial"/>
          <w:sz w:val="18"/>
          <w:szCs w:val="18"/>
          <w:color w:val="282828"/>
        </w:rPr>
        <w:t>Telephone: (312) 895-1000</w:t>
      </w:r>
    </w:p>
    <w:p>
      <w:pPr>
        <w:ind w:left="660"/>
        <w:spacing w:after="0" w:line="219" w:lineRule="auto"/>
        <w:rPr>
          <w:sz w:val="20"/>
          <w:szCs w:val="20"/>
          <w:color w:val="auto"/>
        </w:rPr>
      </w:pPr>
      <w:r>
        <w:rPr>
          <w:rFonts w:ascii="Arial" w:cs="Arial" w:eastAsia="Arial" w:hAnsi="Arial"/>
          <w:sz w:val="18"/>
          <w:szCs w:val="18"/>
          <w:color w:val="282828"/>
        </w:rPr>
        <w:t>Electronic mail: mtresnowski@MDCP.com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Attention: General Counsel</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Kirkland &amp; Ellis LLP 300 North LaSalle</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Chicago, IL 60654</w:t>
      </w:r>
    </w:p>
    <w:p>
      <w:pPr>
        <w:ind w:left="660"/>
        <w:spacing w:after="0" w:line="234" w:lineRule="auto"/>
        <w:rPr>
          <w:sz w:val="20"/>
          <w:szCs w:val="20"/>
          <w:color w:val="auto"/>
        </w:rPr>
      </w:pPr>
      <w:r>
        <w:rPr>
          <w:rFonts w:ascii="Arial" w:cs="Arial" w:eastAsia="Arial" w:hAnsi="Arial"/>
          <w:sz w:val="18"/>
          <w:szCs w:val="18"/>
          <w:color w:val="282828"/>
        </w:rPr>
        <w:t>Facsimile: (312) 862-2200</w:t>
      </w:r>
    </w:p>
    <w:p>
      <w:pPr>
        <w:ind w:left="660"/>
        <w:spacing w:after="0" w:line="219" w:lineRule="auto"/>
        <w:rPr>
          <w:sz w:val="20"/>
          <w:szCs w:val="20"/>
          <w:color w:val="auto"/>
        </w:rPr>
      </w:pPr>
      <w:r>
        <w:rPr>
          <w:rFonts w:ascii="Arial" w:cs="Arial" w:eastAsia="Arial" w:hAnsi="Arial"/>
          <w:sz w:val="18"/>
          <w:szCs w:val="18"/>
          <w:color w:val="282828"/>
        </w:rPr>
        <w:t>Telephone: (312) 862-2000</w:t>
      </w:r>
    </w:p>
    <w:p>
      <w:pPr>
        <w:ind w:left="660"/>
        <w:spacing w:after="0" w:line="220" w:lineRule="auto"/>
        <w:rPr>
          <w:sz w:val="20"/>
          <w:szCs w:val="20"/>
          <w:color w:val="auto"/>
        </w:rPr>
      </w:pPr>
      <w:r>
        <w:rPr>
          <w:rFonts w:ascii="Arial" w:cs="Arial" w:eastAsia="Arial" w:hAnsi="Arial"/>
          <w:sz w:val="18"/>
          <w:szCs w:val="18"/>
          <w:color w:val="282828"/>
        </w:rPr>
        <w:t>Electronic mail: sperl@kirkland.com; mfennell@kirkland.com</w:t>
      </w:r>
    </w:p>
    <w:p>
      <w:pPr>
        <w:ind w:left="660"/>
        <w:spacing w:after="0" w:line="234" w:lineRule="auto"/>
        <w:rPr>
          <w:sz w:val="20"/>
          <w:szCs w:val="20"/>
          <w:color w:val="auto"/>
        </w:rPr>
      </w:pPr>
      <w:r>
        <w:rPr>
          <w:rFonts w:ascii="Arial" w:cs="Arial" w:eastAsia="Arial" w:hAnsi="Arial"/>
          <w:sz w:val="18"/>
          <w:szCs w:val="18"/>
          <w:color w:val="282828"/>
        </w:rPr>
        <w:t>Attention: Sanford E. Perl, P.C.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Mark A. Fennell, P.C.</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82828"/>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19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282828"/>
        </w:rPr>
        <w:t xml:space="preserve">Section 14. </w:t>
      </w:r>
      <w:r>
        <w:rPr>
          <w:rFonts w:ascii="Arial" w:cs="Arial" w:eastAsia="Arial" w:hAnsi="Arial"/>
          <w:sz w:val="18"/>
          <w:szCs w:val="18"/>
          <w:u w:val="single" w:color="auto"/>
          <w:color w:val="282828"/>
        </w:rPr>
        <w:t>Severability</w:t>
      </w:r>
      <w:r>
        <w:rPr>
          <w:rFonts w:ascii="Arial" w:cs="Arial" w:eastAsia="Arial" w:hAnsi="Arial"/>
          <w:sz w:val="18"/>
          <w:szCs w:val="18"/>
          <w:color w:val="282828"/>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282828"/>
        </w:rPr>
        <w:t xml:space="preserve">Section 15. </w:t>
      </w:r>
      <w:r>
        <w:rPr>
          <w:rFonts w:ascii="Arial" w:cs="Arial" w:eastAsia="Arial" w:hAnsi="Arial"/>
          <w:sz w:val="18"/>
          <w:szCs w:val="18"/>
          <w:u w:val="single" w:color="auto"/>
          <w:color w:val="282828"/>
        </w:rPr>
        <w:t>Complete Agreement</w:t>
      </w:r>
      <w:r>
        <w:rPr>
          <w:rFonts w:ascii="Arial" w:cs="Arial" w:eastAsia="Arial" w:hAnsi="Arial"/>
          <w:sz w:val="18"/>
          <w:szCs w:val="18"/>
          <w:color w:val="282828"/>
        </w:rPr>
        <w:t>. This Agreement, and any other agreement expressly referred to herein embody the complete agreement and understanding among the parties and supersede and preempt any prior understandings, agreements or representations by or among the parties, written or oral, which may have related to the subject matter hereof in anyway.</w:t>
      </w:r>
    </w:p>
    <w:p>
      <w:pPr>
        <w:spacing w:after="0" w:line="190"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282828"/>
        </w:rPr>
        <w:t xml:space="preserve">Section 16. </w:t>
      </w:r>
      <w:r>
        <w:rPr>
          <w:rFonts w:ascii="Arial" w:cs="Arial" w:eastAsia="Arial" w:hAnsi="Arial"/>
          <w:sz w:val="18"/>
          <w:szCs w:val="18"/>
          <w:u w:val="single" w:color="auto"/>
          <w:color w:val="282828"/>
        </w:rPr>
        <w:t>No Strict Construction</w:t>
      </w:r>
      <w:r>
        <w:rPr>
          <w:rFonts w:ascii="Arial" w:cs="Arial" w:eastAsia="Arial" w:hAnsi="Arial"/>
          <w:sz w:val="18"/>
          <w:szCs w:val="18"/>
          <w:color w:val="282828"/>
        </w:rPr>
        <w:t>. The language used in this Agreement shall be deemed to be the language chosen by the parties hereto to express their mutual intent, and no rule of strict construction shall be applied against any party.</w:t>
      </w:r>
    </w:p>
    <w:p>
      <w:pPr>
        <w:spacing w:after="0" w:line="18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282828"/>
        </w:rPr>
        <w:t xml:space="preserve">Section 17. </w:t>
      </w:r>
      <w:r>
        <w:rPr>
          <w:rFonts w:ascii="Arial" w:cs="Arial" w:eastAsia="Arial" w:hAnsi="Arial"/>
          <w:sz w:val="18"/>
          <w:szCs w:val="18"/>
          <w:u w:val="single" w:color="auto"/>
          <w:color w:val="282828"/>
        </w:rPr>
        <w:t>Counterparts</w:t>
      </w:r>
      <w:r>
        <w:rPr>
          <w:rFonts w:ascii="Arial" w:cs="Arial" w:eastAsia="Arial" w:hAnsi="Arial"/>
          <w:sz w:val="18"/>
          <w:szCs w:val="18"/>
          <w:color w:val="282828"/>
        </w:rPr>
        <w:t>. This Agreement may be executed in separate counterparts, each of which is deemed to be an original and all of which taken together constitute one and the same agreement.</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282828"/>
        </w:rPr>
        <w:t xml:space="preserve">Section 18. </w:t>
      </w:r>
      <w:r>
        <w:rPr>
          <w:rFonts w:ascii="Arial" w:cs="Arial" w:eastAsia="Arial" w:hAnsi="Arial"/>
          <w:sz w:val="18"/>
          <w:szCs w:val="18"/>
          <w:u w:val="single" w:color="auto"/>
          <w:color w:val="282828"/>
        </w:rPr>
        <w:t>Successors and Assigns</w:t>
      </w:r>
      <w:r>
        <w:rPr>
          <w:rFonts w:ascii="Arial" w:cs="Arial" w:eastAsia="Arial" w:hAnsi="Arial"/>
          <w:sz w:val="18"/>
          <w:szCs w:val="18"/>
          <w:color w:val="282828"/>
        </w:rPr>
        <w:t>. This Agreement is intended to bind and inure to the benefit of and be enforceable by Executive, the Company and their respective heirs, successors and assigns, except that Executive may not assign Executive's rights or delegate Executive's duties or obligations hereunder without the prior written consent of the Company.</w:t>
      </w:r>
    </w:p>
    <w:p>
      <w:pPr>
        <w:spacing w:after="0" w:line="19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282828"/>
        </w:rPr>
        <w:t xml:space="preserve">Section 19. </w:t>
      </w:r>
      <w:r>
        <w:rPr>
          <w:rFonts w:ascii="Arial" w:cs="Arial" w:eastAsia="Arial" w:hAnsi="Arial"/>
          <w:sz w:val="18"/>
          <w:szCs w:val="18"/>
          <w:u w:val="single" w:color="auto"/>
          <w:color w:val="282828"/>
        </w:rPr>
        <w:t>Choice of Law</w:t>
      </w:r>
      <w:r>
        <w:rPr>
          <w:rFonts w:ascii="Arial" w:cs="Arial" w:eastAsia="Arial" w:hAnsi="Arial"/>
          <w:sz w:val="18"/>
          <w:szCs w:val="18"/>
          <w:color w:val="282828"/>
        </w:rPr>
        <w:t>. All issues and questions concerning the construction, validity, enforcement and interpretation of this Agreement and the exhibits and schedules hereto shall be governed by, and construed in accordance with, the laws of the State of Illinois, without giving effect to any choice of law or conflict of law rules or provisions (whether of the State of Illinois or any other jurisdiction) that would cause the application of the laws of any jurisdiction other than the State of Illinois.</w:t>
      </w:r>
    </w:p>
    <w:p>
      <w:pPr>
        <w:spacing w:after="0" w:line="19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282828"/>
        </w:rPr>
        <w:t xml:space="preserve">Section 20. </w:t>
      </w:r>
      <w:r>
        <w:rPr>
          <w:rFonts w:ascii="Arial" w:cs="Arial" w:eastAsia="Arial" w:hAnsi="Arial"/>
          <w:sz w:val="18"/>
          <w:szCs w:val="18"/>
          <w:u w:val="single" w:color="auto"/>
          <w:color w:val="282828"/>
        </w:rPr>
        <w:t>Amendment and Waiver.</w:t>
      </w:r>
      <w:r>
        <w:rPr>
          <w:rFonts w:ascii="Arial" w:cs="Arial" w:eastAsia="Arial" w:hAnsi="Arial"/>
          <w:sz w:val="18"/>
          <w:szCs w:val="18"/>
          <w:color w:val="282828"/>
        </w:rPr>
        <w:t xml:space="preserve"> The provisions of this Agreement may be amended or waived only with the prior written consent of the Company (as approved by the Board) and Executive, and except as expressly provided herein, no course</w:t>
      </w:r>
    </w:p>
    <w:p>
      <w:pPr>
        <w:sectPr>
          <w:pgSz w:w="11900" w:h="16838" w:orient="portrait"/>
          <w:cols w:equalWidth="0" w:num="1">
            <w:col w:w="11240"/>
          </w:cols>
          <w:pgMar w:left="320" w:top="881" w:right="339" w:bottom="1440" w:gutter="0" w:footer="0" w:header="0"/>
        </w:sectPr>
      </w:pPr>
    </w:p>
    <w:bookmarkStart w:id="95" w:name="page96"/>
    <w:bookmarkEnd w:id="95"/>
    <w:p>
      <w:pPr>
        <w:jc w:val="both"/>
        <w:spacing w:after="0" w:line="224" w:lineRule="auto"/>
        <w:rPr>
          <w:sz w:val="20"/>
          <w:szCs w:val="20"/>
          <w:color w:val="auto"/>
        </w:rPr>
      </w:pPr>
      <w:r>
        <w:rPr>
          <w:rFonts w:ascii="Arial" w:cs="Arial" w:eastAsia="Arial" w:hAnsi="Arial"/>
          <w:sz w:val="18"/>
          <w:szCs w:val="18"/>
          <w:color w:val="282828"/>
        </w:rPr>
        <w:t>of conduct or course of dealing or failure or delay by any party hereto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19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282828"/>
        </w:rPr>
        <w:t xml:space="preserve">Section 21. </w:t>
      </w:r>
      <w:r>
        <w:rPr>
          <w:rFonts w:ascii="Arial" w:cs="Arial" w:eastAsia="Arial" w:hAnsi="Arial"/>
          <w:sz w:val="18"/>
          <w:szCs w:val="18"/>
          <w:u w:val="single" w:color="auto"/>
          <w:color w:val="282828"/>
        </w:rPr>
        <w:t>Insurance.</w:t>
      </w:r>
      <w:r>
        <w:rPr>
          <w:rFonts w:ascii="Arial" w:cs="Arial" w:eastAsia="Arial" w:hAnsi="Arial"/>
          <w:sz w:val="18"/>
          <w:szCs w:val="18"/>
          <w:color w:val="282828"/>
        </w:rPr>
        <w:t xml:space="preserve"> The Company may, at its discretion, apply for and procure in its own name and for its own benefit life and/or disability insurance on Executive in any amount or amounts considered advisable. Executive shall cooperate in any medical or other examination, supply any information and execute and deliver any applications or other instruments in writing as may be reasonably necessary to obtain and maintain such insurance. Executive hereby represents that Executive has no reason to believe that Executive's life is not insurable at rates now prevailing for healthy men of Executive's age. The Company will maintain in strictest confidence all information obtained in connection with such medical or other examination and use such information only for the purposes of this </w:t>
      </w:r>
      <w:r>
        <w:rPr>
          <w:rFonts w:ascii="Arial" w:cs="Arial" w:eastAsia="Arial" w:hAnsi="Arial"/>
          <w:sz w:val="18"/>
          <w:szCs w:val="18"/>
          <w:u w:val="single" w:color="auto"/>
          <w:color w:val="282828"/>
        </w:rPr>
        <w:t>Section 21</w:t>
      </w:r>
      <w:r>
        <w:rPr>
          <w:rFonts w:ascii="Arial" w:cs="Arial" w:eastAsia="Arial" w:hAnsi="Arial"/>
          <w:sz w:val="18"/>
          <w:szCs w:val="18"/>
          <w:color w:val="282828"/>
        </w:rPr>
        <w:t>.</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282828"/>
        </w:rPr>
        <w:t xml:space="preserve">Section 22. </w:t>
      </w:r>
      <w:r>
        <w:rPr>
          <w:rFonts w:ascii="Arial" w:cs="Arial" w:eastAsia="Arial" w:hAnsi="Arial"/>
          <w:sz w:val="16"/>
          <w:szCs w:val="16"/>
          <w:u w:val="single" w:color="auto"/>
          <w:color w:val="282828"/>
        </w:rPr>
        <w:t>Withholding Tax Indemnification and Reimbursement of Payments on Behalf of Executive</w:t>
      </w:r>
      <w:r>
        <w:rPr>
          <w:rFonts w:ascii="Arial" w:cs="Arial" w:eastAsia="Arial" w:hAnsi="Arial"/>
          <w:sz w:val="16"/>
          <w:szCs w:val="16"/>
          <w:color w:val="282828"/>
        </w:rPr>
        <w:t>. The Company Group shall be entitled to deduct or withhold from any amounts owing from the Company Group to Executive any federal, state, local or foreign withholding taxes, excise tax or employment taxes ("</w:t>
      </w:r>
      <w:r>
        <w:rPr>
          <w:rFonts w:ascii="Arial" w:cs="Arial" w:eastAsia="Arial" w:hAnsi="Arial"/>
          <w:sz w:val="16"/>
          <w:szCs w:val="16"/>
          <w:u w:val="single" w:color="auto"/>
          <w:color w:val="282828"/>
        </w:rPr>
        <w:t>Taxes</w:t>
      </w:r>
      <w:r>
        <w:rPr>
          <w:rFonts w:ascii="Arial" w:cs="Arial" w:eastAsia="Arial" w:hAnsi="Arial"/>
          <w:sz w:val="16"/>
          <w:szCs w:val="16"/>
          <w:color w:val="282828"/>
        </w:rPr>
        <w:t>") imposed with respect to Executive's compensation or other payments from the Company Group or Executive's ownership interest in the Company Group (including, without limitation, wages, bonuses, dividends, the receipt or exercise of equity options and/or the receipt or vesting of restricted equity). In the event the Company Group does not make such deductions or withholdings, Executive shall indemnify the Company Group for any amounts paid with respect to any such Taxes, together with any interest, penalties and related expenses thereto.</w:t>
      </w:r>
    </w:p>
    <w:p>
      <w:pPr>
        <w:spacing w:after="0" w:line="18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282828"/>
        </w:rPr>
        <w:t xml:space="preserve">Section 23. </w:t>
      </w:r>
      <w:r>
        <w:rPr>
          <w:rFonts w:ascii="Arial" w:cs="Arial" w:eastAsia="Arial" w:hAnsi="Arial"/>
          <w:sz w:val="18"/>
          <w:szCs w:val="18"/>
          <w:u w:val="single" w:color="auto"/>
          <w:color w:val="282828"/>
        </w:rPr>
        <w:t>Waiver of Jury Trial</w:t>
      </w:r>
      <w:r>
        <w:rPr>
          <w:rFonts w:ascii="Arial" w:cs="Arial" w:eastAsia="Arial" w:hAnsi="Arial"/>
          <w:sz w:val="18"/>
          <w:szCs w:val="18"/>
          <w:color w:val="282828"/>
        </w:rPr>
        <w:t>. As a specifically bargained for inducement for each of the parties hereto to enter into this Agreement (after having the opportunity to consult with legal counsel), the Company and Executive each expressly waives the right to trial by jury in any lawsuit or proceeding relating to or arising in any way from this Agreement or the matters contemplated hereby.</w:t>
      </w:r>
    </w:p>
    <w:p>
      <w:pPr>
        <w:spacing w:after="0" w:line="19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282828"/>
        </w:rPr>
        <w:t xml:space="preserve">Section 24. </w:t>
      </w:r>
      <w:r>
        <w:rPr>
          <w:rFonts w:ascii="Arial" w:cs="Arial" w:eastAsia="Arial" w:hAnsi="Arial"/>
          <w:sz w:val="18"/>
          <w:szCs w:val="18"/>
          <w:u w:val="single" w:color="auto"/>
          <w:color w:val="282828"/>
        </w:rPr>
        <w:t>Executive's Cooperation</w:t>
      </w:r>
      <w:r>
        <w:rPr>
          <w:rFonts w:ascii="Arial" w:cs="Arial" w:eastAsia="Arial" w:hAnsi="Arial"/>
          <w:sz w:val="18"/>
          <w:szCs w:val="18"/>
          <w:color w:val="282828"/>
        </w:rPr>
        <w:t xml:space="preserve">. During the Employment Period and thereafter, Executive shall cooperate with the Company Group in any internal investigation, any administrative, regulatory or judicial investigation or proceeding or any dispute with a third party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w:t>
      </w:r>
      <w:r>
        <w:rPr>
          <w:rFonts w:ascii="Arial" w:cs="Arial" w:eastAsia="Arial" w:hAnsi="Arial"/>
          <w:sz w:val="18"/>
          <w:szCs w:val="18"/>
          <w:u w:val="single" w:color="auto"/>
          <w:color w:val="282828"/>
        </w:rPr>
        <w:t>Section 24,</w:t>
      </w:r>
      <w:r>
        <w:rPr>
          <w:rFonts w:ascii="Arial" w:cs="Arial" w:eastAsia="Arial" w:hAnsi="Arial"/>
          <w:sz w:val="18"/>
          <w:szCs w:val="18"/>
          <w:color w:val="282828"/>
        </w:rPr>
        <w:t xml:space="preserve"> the Company shall reimburse Executive solely for reasonable travel expenses (including lodging and meals) upon submission of receipts.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282828"/>
        </w:rPr>
        <w:t>IN WITNESS WHEREOF, the parties hereto have executed this Employment Agreement as of the date first written above.</w:t>
      </w:r>
    </w:p>
    <w:p>
      <w:pPr>
        <w:spacing w:after="0" w:line="20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282828"/>
        </w:rPr>
        <w:t>WALGREENS INFUSION SERVICES, INC.</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color w:val="282828"/>
        </w:rPr>
        <w:t xml:space="preserve">By: </w:t>
      </w:r>
      <w:r>
        <w:rPr>
          <w:rFonts w:ascii="Arial" w:cs="Arial" w:eastAsia="Arial" w:hAnsi="Arial"/>
          <w:sz w:val="18"/>
          <w:szCs w:val="18"/>
          <w:u w:val="single" w:color="auto"/>
          <w:color w:val="282828"/>
        </w:rPr>
        <w:t>Paul Mastrapa</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82828"/>
        </w:rPr>
        <w:t xml:space="preserve">Its: </w:t>
      </w:r>
      <w:r>
        <w:rPr>
          <w:rFonts w:ascii="Arial" w:cs="Arial" w:eastAsia="Arial" w:hAnsi="Arial"/>
          <w:sz w:val="18"/>
          <w:szCs w:val="18"/>
          <w:u w:val="single" w:color="auto"/>
          <w:color w:val="282828"/>
        </w:rPr>
        <w:t>CEO</w:t>
      </w:r>
    </w:p>
    <w:p>
      <w:pPr>
        <w:spacing w:after="0" w:line="200" w:lineRule="exact"/>
        <w:rPr>
          <w:sz w:val="20"/>
          <w:szCs w:val="20"/>
          <w:color w:val="auto"/>
        </w:rPr>
      </w:pPr>
    </w:p>
    <w:p>
      <w:pPr>
        <w:spacing w:after="0" w:line="239" w:lineRule="exact"/>
        <w:rPr>
          <w:sz w:val="20"/>
          <w:szCs w:val="20"/>
          <w:color w:val="auto"/>
        </w:rPr>
      </w:pPr>
    </w:p>
    <w:p>
      <w:pPr>
        <w:ind w:left="5360"/>
        <w:spacing w:after="0"/>
        <w:rPr>
          <w:sz w:val="20"/>
          <w:szCs w:val="20"/>
          <w:color w:val="auto"/>
        </w:rPr>
      </w:pPr>
      <w:r>
        <w:rPr>
          <w:rFonts w:ascii="Arial" w:cs="Arial" w:eastAsia="Arial" w:hAnsi="Arial"/>
          <w:sz w:val="18"/>
          <w:szCs w:val="18"/>
          <w:color w:val="282828"/>
        </w:rPr>
        <w:t xml:space="preserve">/s/ </w:t>
      </w:r>
      <w:r>
        <w:rPr>
          <w:rFonts w:ascii="Arial" w:cs="Arial" w:eastAsia="Arial" w:hAnsi="Arial"/>
          <w:sz w:val="18"/>
          <w:szCs w:val="18"/>
          <w:u w:val="single" w:color="auto"/>
          <w:color w:val="282828"/>
        </w:rPr>
        <w:t>Cliff Berman</w:t>
      </w:r>
    </w:p>
    <w:p>
      <w:pPr>
        <w:ind w:left="5360"/>
        <w:spacing w:after="0"/>
        <w:rPr>
          <w:sz w:val="20"/>
          <w:szCs w:val="20"/>
          <w:color w:val="auto"/>
        </w:rPr>
      </w:pPr>
      <w:r>
        <w:rPr>
          <w:rFonts w:ascii="Arial" w:cs="Arial" w:eastAsia="Arial" w:hAnsi="Arial"/>
          <w:sz w:val="18"/>
          <w:szCs w:val="18"/>
          <w:color w:val="282828"/>
        </w:rPr>
        <w:t>Cliff Berman</w:t>
      </w:r>
    </w:p>
    <w:p>
      <w:pPr>
        <w:sectPr>
          <w:pgSz w:w="11900" w:h="16838" w:orient="portrait"/>
          <w:cols w:equalWidth="0" w:num="1">
            <w:col w:w="11240"/>
          </w:cols>
          <w:pgMar w:left="320" w:top="88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2A2A2A"/>
        </w:rPr>
        <w:t>GENERAL RELEASE</w:t>
      </w:r>
    </w:p>
    <w:p>
      <w:pPr>
        <w:spacing w:after="0" w:line="229" w:lineRule="exact"/>
        <w:rPr>
          <w:sz w:val="20"/>
          <w:szCs w:val="20"/>
          <w:color w:val="auto"/>
        </w:rPr>
      </w:pPr>
    </w:p>
    <w:p>
      <w:pPr>
        <w:ind w:firstLine="772"/>
        <w:spacing w:after="0" w:line="214" w:lineRule="auto"/>
        <w:rPr>
          <w:sz w:val="20"/>
          <w:szCs w:val="20"/>
          <w:color w:val="auto"/>
        </w:rPr>
      </w:pPr>
      <w:r>
        <w:rPr>
          <w:rFonts w:ascii="Arial" w:cs="Arial" w:eastAsia="Arial" w:hAnsi="Arial"/>
          <w:sz w:val="18"/>
          <w:szCs w:val="18"/>
          <w:color w:val="2A2A2A"/>
        </w:rPr>
        <w:t>I, Cliff Berman, in consideration of and subject to the performance by Walgreens Infusion Services, Inc., an Illinois corporation (together with its subsidiaries, the "</w:t>
      </w:r>
      <w:r>
        <w:rPr>
          <w:rFonts w:ascii="Arial" w:cs="Arial" w:eastAsia="Arial" w:hAnsi="Arial"/>
          <w:sz w:val="18"/>
          <w:szCs w:val="18"/>
          <w:u w:val="single" w:color="auto"/>
          <w:color w:val="2A2A2A"/>
        </w:rPr>
        <w:t>Company</w:t>
      </w:r>
      <w:r>
        <w:rPr>
          <w:rFonts w:ascii="Arial" w:cs="Arial" w:eastAsia="Arial" w:hAnsi="Arial"/>
          <w:sz w:val="18"/>
          <w:szCs w:val="18"/>
          <w:color w:val="2A2A2A"/>
        </w:rPr>
        <w:t>"), of its obligations under my employment agreement, dated as of August 3, 2015 (the "</w:t>
      </w:r>
      <w:r>
        <w:rPr>
          <w:rFonts w:ascii="Arial" w:cs="Arial" w:eastAsia="Arial" w:hAnsi="Arial"/>
          <w:sz w:val="18"/>
          <w:szCs w:val="18"/>
          <w:u w:val="single" w:color="auto"/>
          <w:color w:val="2A2A2A"/>
        </w:rPr>
        <w:t>Employment Agreement</w:t>
      </w:r>
      <w:r>
        <w:rPr>
          <w:rFonts w:ascii="Arial" w:cs="Arial" w:eastAsia="Arial" w:hAnsi="Arial"/>
          <w:sz w:val="18"/>
          <w:szCs w:val="18"/>
          <w:color w:val="2A2A2A"/>
        </w:rPr>
        <w:t>"), do hereby release and forever discharge as of the date hereof the Company, HC Group Holdings I, LLC, a Delaware limited liability company ("</w:t>
      </w:r>
      <w:r>
        <w:rPr>
          <w:rFonts w:ascii="Arial" w:cs="Arial" w:eastAsia="Arial" w:hAnsi="Arial"/>
          <w:sz w:val="18"/>
          <w:szCs w:val="18"/>
          <w:u w:val="single" w:color="auto"/>
          <w:color w:val="2A2A2A"/>
        </w:rPr>
        <w:t>Holdings</w:t>
      </w:r>
      <w:r>
        <w:rPr>
          <w:rFonts w:ascii="Arial" w:cs="Arial" w:eastAsia="Arial" w:hAnsi="Arial"/>
          <w:sz w:val="18"/>
          <w:szCs w:val="18"/>
          <w:color w:val="2A2A2A"/>
        </w:rPr>
        <w:t>"), and their respective subsidiaries and affiliates and all present and former directors, officers, agents, representatives, employees, successors and assigns of the Company, Holdings and their respective subsidiaries and affiliates and the Company's and Holdings' respective direct or indirect owners (collectively, the "</w:t>
      </w:r>
      <w:r>
        <w:rPr>
          <w:rFonts w:ascii="Arial" w:cs="Arial" w:eastAsia="Arial" w:hAnsi="Arial"/>
          <w:sz w:val="18"/>
          <w:szCs w:val="18"/>
          <w:u w:val="single" w:color="auto"/>
          <w:color w:val="2A2A2A"/>
        </w:rPr>
        <w:t>Released Parties</w:t>
      </w:r>
      <w:r>
        <w:rPr>
          <w:rFonts w:ascii="Arial" w:cs="Arial" w:eastAsia="Arial" w:hAnsi="Arial"/>
          <w:sz w:val="18"/>
          <w:szCs w:val="18"/>
          <w:color w:val="2A2A2A"/>
        </w:rPr>
        <w:t>") to the extent provided below.</w:t>
      </w:r>
    </w:p>
    <w:p>
      <w:pPr>
        <w:spacing w:after="0" w:line="189" w:lineRule="exact"/>
        <w:rPr>
          <w:sz w:val="20"/>
          <w:szCs w:val="20"/>
          <w:color w:val="auto"/>
        </w:rPr>
      </w:pPr>
    </w:p>
    <w:p>
      <w:pPr>
        <w:jc w:val="both"/>
        <w:ind w:firstLine="737"/>
        <w:spacing w:after="0" w:line="212" w:lineRule="auto"/>
        <w:tabs>
          <w:tab w:leader="none" w:pos="1296" w:val="left"/>
        </w:tabs>
        <w:numPr>
          <w:ilvl w:val="0"/>
          <w:numId w:val="32"/>
        </w:numPr>
        <w:rPr>
          <w:rFonts w:ascii="Arial" w:cs="Arial" w:eastAsia="Arial" w:hAnsi="Arial"/>
          <w:sz w:val="18"/>
          <w:szCs w:val="18"/>
          <w:color w:val="2A2A2A"/>
        </w:rPr>
      </w:pPr>
      <w:r>
        <w:rPr>
          <w:rFonts w:ascii="Arial" w:cs="Arial" w:eastAsia="Arial" w:hAnsi="Arial"/>
          <w:sz w:val="18"/>
          <w:szCs w:val="18"/>
          <w:color w:val="2A2A2A"/>
        </w:rPr>
        <w:t>I understand that any payments or benefits paid or granted to me under Section 4(b) of the Employment Agreement represent, in part, consideration for signing this General Release and are not salary, wages or benefits to which I was already entitled. I understand and agree that I shall not receive the payments and benefits specified in Section 4(b) of the Employment Agreement unless I execute this General Release and do not revoke this General Release within the time period permitted hereafter or breach this General Release. Such payments and benefits shall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w:t>
      </w:r>
    </w:p>
    <w:p>
      <w:pPr>
        <w:spacing w:after="0" w:line="191" w:lineRule="exact"/>
        <w:rPr>
          <w:rFonts w:ascii="Arial" w:cs="Arial" w:eastAsia="Arial" w:hAnsi="Arial"/>
          <w:sz w:val="18"/>
          <w:szCs w:val="18"/>
          <w:color w:val="2A2A2A"/>
        </w:rPr>
      </w:pPr>
    </w:p>
    <w:p>
      <w:pPr>
        <w:jc w:val="both"/>
        <w:ind w:firstLine="737"/>
        <w:spacing w:after="0" w:line="230" w:lineRule="auto"/>
        <w:tabs>
          <w:tab w:leader="none" w:pos="1296" w:val="left"/>
        </w:tabs>
        <w:numPr>
          <w:ilvl w:val="0"/>
          <w:numId w:val="32"/>
        </w:numPr>
        <w:rPr>
          <w:rFonts w:ascii="Arial" w:cs="Arial" w:eastAsia="Arial" w:hAnsi="Arial"/>
          <w:sz w:val="16"/>
          <w:szCs w:val="16"/>
          <w:color w:val="2A2A2A"/>
        </w:rPr>
      </w:pPr>
      <w:r>
        <w:rPr>
          <w:rFonts w:ascii="Arial" w:cs="Arial" w:eastAsia="Arial" w:hAnsi="Arial"/>
          <w:sz w:val="16"/>
          <w:szCs w:val="16"/>
          <w:color w:val="2A2A2A"/>
        </w:rPr>
        <w:t xml:space="preserve">Except as provided in paragraph 4 below and except for the provisions of the Employment Agreement that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Holdings and their respective subsidiaries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w:t>
      </w:r>
      <w:r>
        <w:rPr>
          <w:rFonts w:ascii="Arial" w:cs="Arial" w:eastAsia="Arial" w:hAnsi="Arial"/>
          <w:sz w:val="16"/>
          <w:szCs w:val="16"/>
          <w:color w:val="282828"/>
        </w:rPr>
        <w:t>any policies,</w:t>
      </w:r>
      <w:r>
        <w:rPr>
          <w:rFonts w:ascii="Arial" w:cs="Arial" w:eastAsia="Arial" w:hAnsi="Arial"/>
          <w:sz w:val="16"/>
          <w:szCs w:val="16"/>
          <w:color w:val="2A2A2A"/>
        </w:rPr>
        <w:t xml:space="preserve"> </w:t>
      </w:r>
      <w:r>
        <w:rPr>
          <w:rFonts w:ascii="Arial" w:cs="Arial" w:eastAsia="Arial" w:hAnsi="Arial"/>
          <w:sz w:val="16"/>
          <w:szCs w:val="16"/>
          <w:color w:val="282828"/>
        </w:rPr>
        <w:t>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6"/>
          <w:szCs w:val="16"/>
          <w:u w:val="single" w:color="auto"/>
          <w:color w:val="282828"/>
        </w:rPr>
        <w:t>Claims</w:t>
      </w:r>
      <w:r>
        <w:rPr>
          <w:rFonts w:ascii="Arial" w:cs="Arial" w:eastAsia="Arial" w:hAnsi="Arial"/>
          <w:sz w:val="16"/>
          <w:szCs w:val="16"/>
          <w:color w:val="282828"/>
        </w:rPr>
        <w:t>").</w:t>
      </w:r>
    </w:p>
    <w:p>
      <w:pPr>
        <w:spacing w:after="0" w:line="3" w:lineRule="exact"/>
        <w:rPr>
          <w:rFonts w:ascii="Arial" w:cs="Arial" w:eastAsia="Arial" w:hAnsi="Arial"/>
          <w:sz w:val="16"/>
          <w:szCs w:val="16"/>
          <w:color w:val="2A2A2A"/>
        </w:rPr>
      </w:pPr>
    </w:p>
    <w:p>
      <w:pPr>
        <w:ind w:left="1300" w:hanging="563"/>
        <w:spacing w:after="0" w:line="228" w:lineRule="auto"/>
        <w:tabs>
          <w:tab w:leader="none" w:pos="1300" w:val="left"/>
        </w:tabs>
        <w:numPr>
          <w:ilvl w:val="0"/>
          <w:numId w:val="32"/>
        </w:numPr>
        <w:rPr>
          <w:rFonts w:ascii="Arial" w:cs="Arial" w:eastAsia="Arial" w:hAnsi="Arial"/>
          <w:sz w:val="16"/>
          <w:szCs w:val="16"/>
          <w:color w:val="282828"/>
        </w:rPr>
      </w:pPr>
      <w:r>
        <w:rPr>
          <w:rFonts w:ascii="Arial" w:cs="Arial" w:eastAsia="Arial" w:hAnsi="Arial"/>
          <w:sz w:val="16"/>
          <w:szCs w:val="16"/>
          <w:color w:val="282828"/>
        </w:rPr>
        <w:t>I represent that I have made no assignment or transfer of any right, claim, demand, cause of action, or other matter covered by paragraph</w:t>
      </w:r>
    </w:p>
    <w:p>
      <w:pPr>
        <w:spacing w:after="0" w:line="203" w:lineRule="auto"/>
        <w:rPr>
          <w:rFonts w:ascii="Arial" w:cs="Arial" w:eastAsia="Arial" w:hAnsi="Arial"/>
          <w:sz w:val="16"/>
          <w:szCs w:val="16"/>
          <w:color w:val="282828"/>
        </w:rPr>
      </w:pPr>
      <w:r>
        <w:rPr>
          <w:rFonts w:ascii="Arial" w:cs="Arial" w:eastAsia="Arial" w:hAnsi="Arial"/>
          <w:sz w:val="18"/>
          <w:szCs w:val="18"/>
          <w:color w:val="282828"/>
        </w:rPr>
        <w:t>2 above.</w:t>
      </w:r>
    </w:p>
    <w:p>
      <w:pPr>
        <w:jc w:val="both"/>
        <w:ind w:firstLine="737"/>
        <w:spacing w:after="0" w:line="203" w:lineRule="auto"/>
        <w:tabs>
          <w:tab w:leader="none" w:pos="1296" w:val="left"/>
        </w:tabs>
        <w:numPr>
          <w:ilvl w:val="0"/>
          <w:numId w:val="32"/>
        </w:numPr>
        <w:rPr>
          <w:rFonts w:ascii="Arial" w:cs="Arial" w:eastAsia="Arial" w:hAnsi="Arial"/>
          <w:sz w:val="18"/>
          <w:szCs w:val="18"/>
          <w:color w:val="282828"/>
        </w:rPr>
      </w:pPr>
      <w:r>
        <w:rPr>
          <w:rFonts w:ascii="Arial" w:cs="Arial" w:eastAsia="Arial" w:hAnsi="Arial"/>
          <w:sz w:val="18"/>
          <w:szCs w:val="18"/>
          <w:color w:val="282828"/>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Employment Agreement shall not serve as the basis for any claim or action (including, without limitation, any claim under the Age Discrimination in Employment Act of 1967).</w:t>
      </w:r>
    </w:p>
    <w:p>
      <w:pPr>
        <w:spacing w:after="0" w:line="1" w:lineRule="exact"/>
        <w:rPr>
          <w:rFonts w:ascii="Arial" w:cs="Arial" w:eastAsia="Arial" w:hAnsi="Arial"/>
          <w:sz w:val="18"/>
          <w:szCs w:val="18"/>
          <w:color w:val="282828"/>
        </w:rPr>
      </w:pPr>
    </w:p>
    <w:p>
      <w:pPr>
        <w:jc w:val="both"/>
        <w:ind w:firstLine="737"/>
        <w:spacing w:after="0" w:line="215" w:lineRule="auto"/>
        <w:tabs>
          <w:tab w:leader="none" w:pos="1296" w:val="left"/>
        </w:tabs>
        <w:numPr>
          <w:ilvl w:val="0"/>
          <w:numId w:val="32"/>
        </w:numPr>
        <w:rPr>
          <w:rFonts w:ascii="Arial" w:cs="Arial" w:eastAsia="Arial" w:hAnsi="Arial"/>
          <w:sz w:val="17"/>
          <w:szCs w:val="17"/>
          <w:color w:val="282828"/>
        </w:rPr>
      </w:pPr>
      <w:r>
        <w:rPr>
          <w:rFonts w:ascii="Arial" w:cs="Arial" w:eastAsia="Arial" w:hAnsi="Arial"/>
          <w:sz w:val="17"/>
          <w:szCs w:val="17"/>
          <w:color w:val="282828"/>
        </w:rPr>
        <w:t>I agree that I am waiving all rights to sue or obtain equitable, remedial or punitive relief from any or all Released Parties of any kind whatsoever (including, without limitation, reinstatement, back pay, front pay, attorneys' fees and any form of injunctive relief). Notwithstanding the above, I further acknowledge that I am not waiving and am not being required to waive any right that cannot be waived under law (including, without limitation, the right to file an administrative charge or participate in an administrative investigation or proceeding); provided that I disclaim and waive any right to share or participate in any monetary award resulting from the prosecution of such charge or investigation or proceeding.</w:t>
      </w:r>
    </w:p>
    <w:p>
      <w:pPr>
        <w:spacing w:after="0" w:line="1" w:lineRule="exact"/>
        <w:rPr>
          <w:rFonts w:ascii="Arial" w:cs="Arial" w:eastAsia="Arial" w:hAnsi="Arial"/>
          <w:sz w:val="17"/>
          <w:szCs w:val="17"/>
          <w:color w:val="282828"/>
        </w:rPr>
      </w:pPr>
    </w:p>
    <w:p>
      <w:pPr>
        <w:jc w:val="both"/>
        <w:ind w:firstLine="737"/>
        <w:spacing w:after="0" w:line="207" w:lineRule="auto"/>
        <w:tabs>
          <w:tab w:leader="none" w:pos="1296" w:val="left"/>
        </w:tabs>
        <w:numPr>
          <w:ilvl w:val="0"/>
          <w:numId w:val="32"/>
        </w:numPr>
        <w:rPr>
          <w:rFonts w:ascii="Arial" w:cs="Arial" w:eastAsia="Arial" w:hAnsi="Arial"/>
          <w:sz w:val="18"/>
          <w:szCs w:val="18"/>
          <w:color w:val="282828"/>
        </w:rPr>
      </w:pPr>
      <w:r>
        <w:rPr>
          <w:rFonts w:ascii="Arial" w:cs="Arial" w:eastAsia="Arial" w:hAnsi="Arial"/>
          <w:sz w:val="18"/>
          <w:szCs w:val="18"/>
          <w:color w:val="282828"/>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without limitation,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Employment Agreement. I further agree that in the event I should bring a Claim seeking damages against the Company or any other Released Party, or in the event I should seek to recover against the Company or any other Released Party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ectPr>
          <w:pgSz w:w="11900" w:h="16838" w:orient="portrait"/>
          <w:cols w:equalWidth="0" w:num="1">
            <w:col w:w="11240"/>
          </w:cols>
          <w:pgMar w:left="320" w:top="877" w:right="339" w:bottom="1440" w:gutter="0" w:footer="0" w:header="0"/>
        </w:sectPr>
      </w:pPr>
    </w:p>
    <w:bookmarkStart w:id="97" w:name="page98"/>
    <w:bookmarkEnd w:id="97"/>
    <w:p>
      <w:pPr>
        <w:ind w:left="-120" w:firstLine="737"/>
        <w:spacing w:after="0" w:line="212" w:lineRule="auto"/>
        <w:tabs>
          <w:tab w:leader="none" w:pos="1176" w:val="left"/>
        </w:tabs>
        <w:numPr>
          <w:ilvl w:val="0"/>
          <w:numId w:val="33"/>
        </w:numPr>
        <w:rPr>
          <w:rFonts w:ascii="Arial" w:cs="Arial" w:eastAsia="Arial" w:hAnsi="Arial"/>
          <w:sz w:val="18"/>
          <w:szCs w:val="18"/>
          <w:color w:val="282828"/>
        </w:rPr>
      </w:pPr>
      <w:r>
        <w:rPr>
          <w:rFonts w:ascii="Arial" w:cs="Arial" w:eastAsia="Arial" w:hAnsi="Arial"/>
          <w:sz w:val="18"/>
          <w:szCs w:val="18"/>
          <w:color w:val="282828"/>
        </w:rPr>
        <w:t>I agree that neither this General Release, nor the furnishing of the consideration for this General Release, shall be deemed or construed at any time to be an admission by the Company, any other Released Party or myself of any improper or unlawful conduct.</w:t>
      </w:r>
    </w:p>
    <w:p>
      <w:pPr>
        <w:spacing w:after="0" w:line="1" w:lineRule="exact"/>
        <w:rPr>
          <w:rFonts w:ascii="Arial" w:cs="Arial" w:eastAsia="Arial" w:hAnsi="Arial"/>
          <w:sz w:val="18"/>
          <w:szCs w:val="18"/>
          <w:color w:val="282828"/>
        </w:rPr>
      </w:pPr>
    </w:p>
    <w:p>
      <w:pPr>
        <w:jc w:val="both"/>
        <w:ind w:left="-120" w:firstLine="737"/>
        <w:spacing w:after="0" w:line="203" w:lineRule="auto"/>
        <w:tabs>
          <w:tab w:leader="none" w:pos="1176" w:val="left"/>
        </w:tabs>
        <w:numPr>
          <w:ilvl w:val="0"/>
          <w:numId w:val="33"/>
        </w:numPr>
        <w:rPr>
          <w:rFonts w:ascii="Arial" w:cs="Arial" w:eastAsia="Arial" w:hAnsi="Arial"/>
          <w:sz w:val="18"/>
          <w:szCs w:val="18"/>
          <w:color w:val="282828"/>
        </w:rPr>
      </w:pPr>
      <w:r>
        <w:rPr>
          <w:rFonts w:ascii="Arial" w:cs="Arial" w:eastAsia="Arial" w:hAnsi="Arial"/>
          <w:sz w:val="18"/>
          <w:szCs w:val="18"/>
          <w:color w:val="2A2A2A"/>
        </w:rPr>
        <w:t>I agree that I will forfeit all amounts payable by the Company, Holdings and their respective subsidiaries pursuant to the Employment Agreement if I challenge the validity of this General Release. I also agree that if I violate this General Release by suing the Company or any other Released Parties, I shall pay all costs and expenses of defending against the suit incurred by the Released Parties (including, without limitation, reasonable attorneys' fees, and return all payments received by me pursuant to the Employment Agreement).</w:t>
      </w:r>
    </w:p>
    <w:p>
      <w:pPr>
        <w:spacing w:after="0" w:line="1" w:lineRule="exact"/>
        <w:rPr>
          <w:rFonts w:ascii="Arial" w:cs="Arial" w:eastAsia="Arial" w:hAnsi="Arial"/>
          <w:sz w:val="18"/>
          <w:szCs w:val="18"/>
          <w:color w:val="282828"/>
        </w:rPr>
      </w:pPr>
    </w:p>
    <w:p>
      <w:pPr>
        <w:jc w:val="both"/>
        <w:ind w:left="-120" w:firstLine="737"/>
        <w:spacing w:after="0" w:line="215" w:lineRule="auto"/>
        <w:tabs>
          <w:tab w:leader="none" w:pos="1176" w:val="left"/>
        </w:tabs>
        <w:numPr>
          <w:ilvl w:val="0"/>
          <w:numId w:val="33"/>
        </w:numPr>
        <w:rPr>
          <w:rFonts w:ascii="Arial" w:cs="Arial" w:eastAsia="Arial" w:hAnsi="Arial"/>
          <w:sz w:val="17"/>
          <w:szCs w:val="17"/>
          <w:color w:val="2A2A2A"/>
        </w:rPr>
      </w:pPr>
      <w:r>
        <w:rPr>
          <w:rFonts w:ascii="Arial" w:cs="Arial" w:eastAsia="Arial" w:hAnsi="Arial"/>
          <w:sz w:val="17"/>
          <w:szCs w:val="17"/>
          <w:color w:val="2A2A2A"/>
        </w:rPr>
        <w:t>I agree that this General Release and the Employment Agreement are confidential and agree not to disclose any information regarding the terms of this General Release or the Employment Agreement, except to my immediate family and any tax, legal or other counsel I have consulted regarding the meaning or effect hereof or as required by law, and I shall instruct each of the foregoing not to disclose the same to anyone. Notwithstanding anything herein to the contrary, each of the parties (and each affiliate and person acting on behalf of any such party) agree that each party (and each employee, representative, and other agent of such party) may disclose to any and all persons, without limitation of any kind, the tax treatment and tax structure of this transaction contemplated in this Agreement and all materials of any kind (including opinions or other tax analyses) that are provided to such party or such person relating to such tax treatment and tax structure, except to the extent necessary to comply with any applicable federal or state securities laws. This authorization is not intended to permit disclosure of any other information including (without limitation) (i) any portion of any materials to the extent not related to the tax treatment or tax structure of this transaction, (ii) the identities of participants or potential participants in this Agreement, (iii) any financial information (except to the extent such information is related to the tax treatment or tax structure of this transaction), or (iv) any other term or detail not relevant to the tax treatment or the tax structure of this transaction.</w:t>
      </w:r>
    </w:p>
    <w:p>
      <w:pPr>
        <w:spacing w:after="0" w:line="4" w:lineRule="exact"/>
        <w:rPr>
          <w:rFonts w:ascii="Arial" w:cs="Arial" w:eastAsia="Arial" w:hAnsi="Arial"/>
          <w:sz w:val="17"/>
          <w:szCs w:val="17"/>
          <w:color w:val="2A2A2A"/>
        </w:rPr>
      </w:pPr>
    </w:p>
    <w:p>
      <w:pPr>
        <w:jc w:val="both"/>
        <w:ind w:left="-120" w:firstLine="737"/>
        <w:spacing w:after="0" w:line="203" w:lineRule="auto"/>
        <w:tabs>
          <w:tab w:leader="none" w:pos="1171" w:val="left"/>
        </w:tabs>
        <w:numPr>
          <w:ilvl w:val="0"/>
          <w:numId w:val="33"/>
        </w:numPr>
        <w:rPr>
          <w:rFonts w:ascii="Arial" w:cs="Arial" w:eastAsia="Arial" w:hAnsi="Arial"/>
          <w:sz w:val="18"/>
          <w:szCs w:val="18"/>
          <w:color w:val="2A2A2A"/>
        </w:rPr>
      </w:pPr>
      <w:r>
        <w:rPr>
          <w:rFonts w:ascii="Arial" w:cs="Arial" w:eastAsia="Arial" w:hAnsi="Arial"/>
          <w:sz w:val="18"/>
          <w:szCs w:val="18"/>
          <w:color w:val="2A2A2A"/>
        </w:rPr>
        <w:t>The non-disclosure provisions in this General Release do not prohibit or restrict me (or my attorney) from responding to any inquiry about this General Release or its underlying facts and circumstances by the Securities and Exchange Commission, the National Association of Securities Dealers, Inc., any other self-regulatory organization or governmental entity.</w:t>
      </w:r>
    </w:p>
    <w:p>
      <w:pPr>
        <w:spacing w:after="0" w:line="1" w:lineRule="exact"/>
        <w:rPr>
          <w:rFonts w:ascii="Arial" w:cs="Arial" w:eastAsia="Arial" w:hAnsi="Arial"/>
          <w:sz w:val="18"/>
          <w:szCs w:val="18"/>
          <w:color w:val="2A2A2A"/>
        </w:rPr>
      </w:pPr>
    </w:p>
    <w:p>
      <w:pPr>
        <w:jc w:val="both"/>
        <w:ind w:left="-120" w:firstLine="737"/>
        <w:spacing w:after="0" w:line="228" w:lineRule="auto"/>
        <w:tabs>
          <w:tab w:leader="none" w:pos="1165" w:val="left"/>
        </w:tabs>
        <w:numPr>
          <w:ilvl w:val="0"/>
          <w:numId w:val="33"/>
        </w:numPr>
        <w:rPr>
          <w:rFonts w:ascii="Arial" w:cs="Arial" w:eastAsia="Arial" w:hAnsi="Arial"/>
          <w:sz w:val="16"/>
          <w:szCs w:val="16"/>
          <w:color w:val="2A2A2A"/>
        </w:rPr>
      </w:pPr>
      <w:r>
        <w:rPr>
          <w:rFonts w:ascii="Arial" w:cs="Arial" w:eastAsia="Arial" w:hAnsi="Arial"/>
          <w:sz w:val="16"/>
          <w:szCs w:val="16"/>
          <w:color w:val="2A2A2A"/>
        </w:rPr>
        <w:t>I affirm my obligations of confidentiality under Section 5 of the Employment Agreement. I agree not to disparage the Company Group or any of their past or present affiliates, investors, officers, managers, directors or employees. I further agree that as of the date hereof, I have returned to the Company and Holdings any and all property, tangible or intangible, relating to their respective subsidiaries'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pacing w:after="0" w:line="4" w:lineRule="exact"/>
        <w:rPr>
          <w:rFonts w:ascii="Arial" w:cs="Arial" w:eastAsia="Arial" w:hAnsi="Arial"/>
          <w:sz w:val="16"/>
          <w:szCs w:val="16"/>
          <w:color w:val="2A2A2A"/>
        </w:rPr>
      </w:pPr>
    </w:p>
    <w:p>
      <w:pPr>
        <w:jc w:val="both"/>
        <w:ind w:left="-120" w:firstLine="737"/>
        <w:spacing w:after="0" w:line="215" w:lineRule="auto"/>
        <w:tabs>
          <w:tab w:leader="none" w:pos="1171" w:val="left"/>
        </w:tabs>
        <w:numPr>
          <w:ilvl w:val="0"/>
          <w:numId w:val="33"/>
        </w:numPr>
        <w:rPr>
          <w:rFonts w:ascii="Arial" w:cs="Arial" w:eastAsia="Arial" w:hAnsi="Arial"/>
          <w:sz w:val="17"/>
          <w:szCs w:val="17"/>
          <w:color w:val="2A2A2A"/>
        </w:rPr>
      </w:pPr>
      <w:r>
        <w:rPr>
          <w:rFonts w:ascii="Arial" w:cs="Arial" w:eastAsia="Arial" w:hAnsi="Arial"/>
          <w:sz w:val="17"/>
          <w:szCs w:val="17"/>
          <w:color w:val="2A2A2A"/>
        </w:rPr>
        <w:t>Notwithstanding anything in this General Release to the contrary, this General Release shall not relinquish, diminish, or in any way affect any rights or claims (a) arising out of any breach by the Company or by any Released Party of the Employment Agreement after the date hereof, (b) respecting my rights of indemnification and coverage as an insured under directors and officers liability insurance or pursuant to the limited liability agreement of Holdings, (c) any accrued and vested benefits in accordance with the employee benefits plans in which I am a participant, (d) unpaid expenses subject to reimbursement in accordance with Section 3(b) of the Employment Agreement, (e) pursuant to my rights not to be disparaged under Section 7(c) of the Employment Agreement and (f) respecting my member units in Holdings (or any successor).</w:t>
      </w:r>
    </w:p>
    <w:p>
      <w:pPr>
        <w:spacing w:after="0" w:line="2" w:lineRule="exact"/>
        <w:rPr>
          <w:rFonts w:ascii="Arial" w:cs="Arial" w:eastAsia="Arial" w:hAnsi="Arial"/>
          <w:sz w:val="17"/>
          <w:szCs w:val="17"/>
          <w:color w:val="2A2A2A"/>
        </w:rPr>
      </w:pPr>
    </w:p>
    <w:p>
      <w:pPr>
        <w:jc w:val="both"/>
        <w:ind w:left="-120" w:firstLine="737"/>
        <w:spacing w:after="0" w:line="228" w:lineRule="auto"/>
        <w:tabs>
          <w:tab w:leader="none" w:pos="1171" w:val="left"/>
        </w:tabs>
        <w:numPr>
          <w:ilvl w:val="0"/>
          <w:numId w:val="33"/>
        </w:numPr>
        <w:rPr>
          <w:rFonts w:ascii="Arial" w:cs="Arial" w:eastAsia="Arial" w:hAnsi="Arial"/>
          <w:sz w:val="16"/>
          <w:szCs w:val="16"/>
          <w:color w:val="2A2A2A"/>
        </w:rPr>
      </w:pPr>
      <w:r>
        <w:rPr>
          <w:rFonts w:ascii="Arial" w:cs="Arial" w:eastAsia="Arial" w:hAnsi="Arial"/>
          <w:sz w:val="16"/>
          <w:szCs w:val="16"/>
          <w:color w:val="2A2A2A"/>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2" w:lineRule="exact"/>
        <w:rPr>
          <w:rFonts w:ascii="Arial" w:cs="Arial" w:eastAsia="Arial" w:hAnsi="Arial"/>
          <w:sz w:val="16"/>
          <w:szCs w:val="16"/>
          <w:color w:val="2A2A2A"/>
        </w:rPr>
      </w:pPr>
    </w:p>
    <w:p>
      <w:pPr>
        <w:ind w:left="1180" w:hanging="563"/>
        <w:spacing w:after="0"/>
        <w:tabs>
          <w:tab w:leader="none" w:pos="1180" w:val="left"/>
        </w:tabs>
        <w:numPr>
          <w:ilvl w:val="0"/>
          <w:numId w:val="33"/>
        </w:numPr>
        <w:rPr>
          <w:rFonts w:ascii="Arial" w:cs="Arial" w:eastAsia="Arial" w:hAnsi="Arial"/>
          <w:sz w:val="18"/>
          <w:szCs w:val="18"/>
          <w:color w:val="2A2A2A"/>
        </w:rPr>
      </w:pPr>
      <w:r>
        <w:rPr>
          <w:rFonts w:ascii="Arial" w:cs="Arial" w:eastAsia="Arial" w:hAnsi="Arial"/>
          <w:sz w:val="18"/>
          <w:szCs w:val="18"/>
          <w:color w:val="2A2A2A"/>
        </w:rPr>
        <w:t>Holdings shall be an express third-party beneficiary of this General Release.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2A2A2A"/>
        </w:rPr>
        <w:t>BY SIGNING THIS GENERAL RELEASE, I REPRESENT AND AGREE THAT:</w:t>
      </w:r>
    </w:p>
    <w:p>
      <w:pPr>
        <w:spacing w:after="0" w:line="239" w:lineRule="exact"/>
        <w:rPr>
          <w:sz w:val="20"/>
          <w:szCs w:val="20"/>
          <w:color w:val="auto"/>
        </w:rPr>
      </w:pPr>
    </w:p>
    <w:p>
      <w:pPr>
        <w:ind w:left="520" w:hanging="308"/>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2A2A2A"/>
        </w:rPr>
        <w:t>I HAVE READ IT CAREFULLY;</w:t>
      </w:r>
    </w:p>
    <w:p>
      <w:pPr>
        <w:spacing w:after="0" w:line="225" w:lineRule="exact"/>
        <w:rPr>
          <w:rFonts w:ascii="Arial" w:cs="Arial" w:eastAsia="Arial" w:hAnsi="Arial"/>
          <w:sz w:val="18"/>
          <w:szCs w:val="18"/>
          <w:color w:val="auto"/>
        </w:rPr>
      </w:pPr>
    </w:p>
    <w:p>
      <w:pPr>
        <w:jc w:val="both"/>
        <w:ind w:left="540" w:hanging="328"/>
        <w:spacing w:after="0" w:line="21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2A2A2A"/>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203" w:lineRule="exact"/>
        <w:rPr>
          <w:rFonts w:ascii="Arial" w:cs="Arial" w:eastAsia="Arial" w:hAnsi="Arial"/>
          <w:sz w:val="18"/>
          <w:szCs w:val="18"/>
          <w:color w:val="auto"/>
        </w:rPr>
      </w:pPr>
    </w:p>
    <w:p>
      <w:pPr>
        <w:ind w:left="520" w:hanging="308"/>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2A2A2A"/>
        </w:rPr>
        <w:t>I VOLUNTARILY CONSENT TO EVERYTHING IN IT;</w:t>
      </w:r>
    </w:p>
    <w:p>
      <w:pPr>
        <w:spacing w:after="0" w:line="225" w:lineRule="exact"/>
        <w:rPr>
          <w:rFonts w:ascii="Arial" w:cs="Arial" w:eastAsia="Arial" w:hAnsi="Arial"/>
          <w:sz w:val="18"/>
          <w:szCs w:val="18"/>
          <w:color w:val="auto"/>
        </w:rPr>
      </w:pPr>
    </w:p>
    <w:p>
      <w:pPr>
        <w:jc w:val="both"/>
        <w:ind w:left="540" w:hanging="328"/>
        <w:spacing w:after="0" w:line="22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2A2A2A"/>
        </w:rPr>
        <w:t>I HAVE BEEN ADVISED IN WRITING BY MEANS OF THIS GENERAL RELEASE AGREEMENT TO CONSULT WITH AN ATTORNEY BEFORE EXECUTING IT AND I HAVE DONE SO OR, AFTER CAREFUL READING AND CONSIDERATION, I HAVE CHOSEN NOT TO DO SO OF MY OWN VOLITION;</w:t>
      </w:r>
    </w:p>
    <w:p>
      <w:pPr>
        <w:sectPr>
          <w:pgSz w:w="11900" w:h="16838" w:orient="portrait"/>
          <w:cols w:equalWidth="0" w:num="1">
            <w:col w:w="11120"/>
          </w:cols>
          <w:pgMar w:left="440" w:top="881" w:right="339" w:bottom="1440" w:gutter="0" w:footer="0" w:header="0"/>
        </w:sectPr>
      </w:pPr>
    </w:p>
    <w:bookmarkStart w:id="98" w:name="page99"/>
    <w:bookmarkEnd w:id="98"/>
    <w:p>
      <w:pPr>
        <w:jc w:val="both"/>
        <w:ind w:left="660" w:hanging="328"/>
        <w:spacing w:after="0" w:line="243"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2A2A2A"/>
        </w:rPr>
        <w:t xml:space="preserve">I HAVE HAD AT LEAST 21 DAYS FROM THE DATE OF MY RECEIPT OF THIS RELEASE SUBSTANTIALLY IN ITS FINAL FORM ON AUGUST 3, 2015 TO CONSIDER IT AND THE CHANGES MADE SINCE THE AUGUST 3, 2015 , VERSION OF THIS GENERAL RELEASE ARE NOT MATERIAL AND SHALL NOT RESTART THE REQUIRED 21-DAY PERIOD </w:t>
      </w:r>
      <w:r>
        <w:rPr>
          <w:rFonts w:ascii="Arial" w:cs="Arial" w:eastAsia="Arial" w:hAnsi="Arial"/>
          <w:sz w:val="18"/>
          <w:szCs w:val="18"/>
          <w:b w:val="1"/>
          <w:bCs w:val="1"/>
          <w:color w:val="2A2A2A"/>
        </w:rPr>
        <w:t>[or]</w:t>
      </w:r>
      <w:r>
        <w:rPr>
          <w:rFonts w:ascii="Arial" w:cs="Arial" w:eastAsia="Arial" w:hAnsi="Arial"/>
          <w:sz w:val="18"/>
          <w:szCs w:val="18"/>
          <w:color w:val="2A2A2A"/>
        </w:rPr>
        <w:t xml:space="preserve"> I HAVE ELECTED TO SIGN THIS RELEASE PRIOR TO THE END OF SUCH 21-DAY PERIOD;</w:t>
      </w:r>
    </w:p>
    <w:p>
      <w:pPr>
        <w:spacing w:after="0" w:line="214" w:lineRule="exact"/>
        <w:rPr>
          <w:rFonts w:ascii="Arial" w:cs="Arial" w:eastAsia="Arial" w:hAnsi="Arial"/>
          <w:sz w:val="18"/>
          <w:szCs w:val="18"/>
          <w:color w:val="auto"/>
        </w:rPr>
      </w:pPr>
    </w:p>
    <w:p>
      <w:pPr>
        <w:ind w:left="660" w:right="140" w:hanging="328"/>
        <w:spacing w:after="0" w:line="261" w:lineRule="auto"/>
        <w:tabs>
          <w:tab w:leader="none" w:pos="657" w:val="left"/>
        </w:tabs>
        <w:numPr>
          <w:ilvl w:val="0"/>
          <w:numId w:val="35"/>
        </w:numPr>
        <w:rPr>
          <w:rFonts w:ascii="Arial" w:cs="Arial" w:eastAsia="Arial" w:hAnsi="Arial"/>
          <w:sz w:val="18"/>
          <w:szCs w:val="18"/>
          <w:color w:val="auto"/>
        </w:rPr>
      </w:pPr>
      <w:r>
        <w:rPr>
          <w:rFonts w:ascii="Arial" w:cs="Arial" w:eastAsia="Arial" w:hAnsi="Arial"/>
          <w:sz w:val="18"/>
          <w:szCs w:val="18"/>
          <w:color w:val="2D2D2D"/>
        </w:rPr>
        <w:t>THE CHANGES TO THE EMPLOYMENT AGREEMENT SINCE AUGUST 3, 2015 EITHER ARE NOT MATERIAL OR WERE MADE AT MY REQUEST.</w:t>
      </w:r>
    </w:p>
    <w:p>
      <w:pPr>
        <w:spacing w:after="0" w:line="184"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D2D2D"/>
        </w:rPr>
        <w:t>I UNDERSTAND THAT I HAVE SEVEN DAYS AFTER THE EXECUTION OF THIS RELEASE TO REVOKE IT AND THAT THIS RELEASE SHALL NOT BECOME EFFECTIVE OR ENFORCEABLE UNTIL THE REVOCATION PERIOD HAS EXPIRED;</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D2D2D"/>
        </w:rPr>
        <w:t>I HAVE SIGNED THIS GENERAL RELEASE KNOWINGLY AND VOLUNTARILY AND WITH THE ADVICE OF ANY ATTORNEY RETAINED TO ADVISE ME WITH RESPECT TO IT; AND</w:t>
      </w:r>
    </w:p>
    <w:p>
      <w:pPr>
        <w:spacing w:after="0" w:line="196" w:lineRule="exact"/>
        <w:rPr>
          <w:rFonts w:ascii="Arial" w:cs="Arial" w:eastAsia="Arial" w:hAnsi="Arial"/>
          <w:sz w:val="18"/>
          <w:szCs w:val="18"/>
          <w:color w:val="auto"/>
        </w:rPr>
      </w:pPr>
    </w:p>
    <w:p>
      <w:pPr>
        <w:ind w:left="660" w:hanging="328"/>
        <w:spacing w:after="0" w:line="274" w:lineRule="auto"/>
        <w:tabs>
          <w:tab w:leader="none" w:pos="647" w:val="left"/>
        </w:tabs>
        <w:numPr>
          <w:ilvl w:val="0"/>
          <w:numId w:val="35"/>
        </w:numPr>
        <w:rPr>
          <w:rFonts w:ascii="Arial" w:cs="Arial" w:eastAsia="Arial" w:hAnsi="Arial"/>
          <w:sz w:val="17"/>
          <w:szCs w:val="17"/>
          <w:color w:val="auto"/>
        </w:rPr>
      </w:pPr>
      <w:r>
        <w:rPr>
          <w:rFonts w:ascii="Arial" w:cs="Arial" w:eastAsia="Arial" w:hAnsi="Arial"/>
          <w:sz w:val="17"/>
          <w:szCs w:val="17"/>
          <w:color w:val="2D2D2D"/>
        </w:rPr>
        <w:t>I AGREE THAT THE PROVISIONS OF THIS GENERAL RELEASE MAY NOT BE AMENDED, WAIVED</w:t>
      </w:r>
      <w:r>
        <w:rPr>
          <w:rFonts w:ascii="Arial" w:cs="Arial" w:eastAsia="Arial" w:hAnsi="Arial"/>
          <w:sz w:val="17"/>
          <w:szCs w:val="17"/>
          <w:color w:val="484848"/>
        </w:rPr>
        <w:t>,</w:t>
      </w:r>
      <w:r>
        <w:rPr>
          <w:rFonts w:ascii="Arial" w:cs="Arial" w:eastAsia="Arial" w:hAnsi="Arial"/>
          <w:sz w:val="17"/>
          <w:szCs w:val="17"/>
          <w:color w:val="2D2D2D"/>
        </w:rPr>
        <w:t xml:space="preserve"> CHANGED OR MODIFIED EXCEPT BY AN INSTRUMENT IN WRITING SIGNED BY AN AUTHORIZED REPRESENTATIVE OF THE COMPANY AND BY ME.</w:t>
      </w:r>
    </w:p>
    <w:p>
      <w:pPr>
        <w:spacing w:after="0" w:line="200" w:lineRule="exact"/>
        <w:rPr>
          <w:sz w:val="20"/>
          <w:szCs w:val="20"/>
          <w:color w:val="auto"/>
        </w:rPr>
      </w:pPr>
    </w:p>
    <w:p>
      <w:pPr>
        <w:spacing w:after="0" w:line="216"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2D2D2D"/>
        </w:rPr>
        <w:t>DATE: AUGUST 3, 2015</w:t>
      </w:r>
      <w:r>
        <w:rPr>
          <w:sz w:val="20"/>
          <w:szCs w:val="20"/>
          <w:color w:val="auto"/>
        </w:rPr>
        <w:tab/>
      </w:r>
      <w:r>
        <w:rPr>
          <w:rFonts w:ascii="Arial" w:cs="Arial" w:eastAsia="Arial" w:hAnsi="Arial"/>
          <w:sz w:val="16"/>
          <w:szCs w:val="16"/>
          <w:color w:val="2D2D2D"/>
        </w:rPr>
        <w:t xml:space="preserve">/s/ </w:t>
      </w:r>
      <w:r>
        <w:rPr>
          <w:rFonts w:ascii="Arial" w:cs="Arial" w:eastAsia="Arial" w:hAnsi="Arial"/>
          <w:sz w:val="16"/>
          <w:szCs w:val="16"/>
          <w:u w:val="single" w:color="auto"/>
          <w:color w:val="2D2D2D"/>
        </w:rPr>
        <w:t>Cliff Berman</w:t>
      </w:r>
    </w:p>
    <w:p>
      <w:pPr>
        <w:ind w:left="7460"/>
        <w:spacing w:after="0"/>
        <w:rPr>
          <w:sz w:val="20"/>
          <w:szCs w:val="20"/>
          <w:color w:val="auto"/>
        </w:rPr>
      </w:pPr>
      <w:r>
        <w:rPr>
          <w:rFonts w:ascii="Arial" w:cs="Arial" w:eastAsia="Arial" w:hAnsi="Arial"/>
          <w:sz w:val="18"/>
          <w:szCs w:val="18"/>
          <w:color w:val="2D2D2D"/>
        </w:rPr>
        <w:t>Cliff Berman</w:t>
      </w:r>
    </w:p>
    <w:p>
      <w:pPr>
        <w:sectPr>
          <w:pgSz w:w="11900" w:h="16838" w:orient="portrait"/>
          <w:cols w:equalWidth="0" w:num="1">
            <w:col w:w="11240"/>
          </w:cols>
          <w:pgMar w:left="320" w:top="1138" w:right="33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1560"/>
              <w:spacing w:after="0"/>
              <w:rPr>
                <w:sz w:val="20"/>
                <w:szCs w:val="20"/>
                <w:color w:val="auto"/>
              </w:rPr>
            </w:pPr>
            <w:r>
              <w:rPr>
                <w:rFonts w:ascii="Arial" w:cs="Arial" w:eastAsia="Arial" w:hAnsi="Arial"/>
                <w:sz w:val="16"/>
                <w:szCs w:val="16"/>
                <w:b w:val="1"/>
                <w:bCs w:val="1"/>
                <w:color w:val="auto"/>
              </w:rPr>
              <w:t>EXHIBIT 21.1</w:t>
            </w:r>
          </w:p>
        </w:tc>
      </w:tr>
      <w:tr>
        <w:trPr>
          <w:trHeight w:val="451"/>
        </w:trPr>
        <w:tc>
          <w:tcPr>
            <w:tcW w:w="284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8"/>
              </w:rPr>
              <w:t>OPTION CARE HEALTH, INC. AND ITS SUBSIDIARIES</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42"/>
        </w:trPr>
        <w:tc>
          <w:tcPr>
            <w:tcW w:w="596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r>
      <w:tr>
        <w:trPr>
          <w:trHeight w:val="223"/>
        </w:trPr>
        <w:tc>
          <w:tcPr>
            <w:tcW w:w="5960" w:type="dxa"/>
            <w:vAlign w:val="bottom"/>
            <w:tcBorders>
              <w:left w:val="single" w:sz="8" w:color="auto"/>
              <w:bottom w:val="single" w:sz="8" w:color="auto"/>
              <w:right w:val="single" w:sz="8" w:color="auto"/>
            </w:tcBorders>
            <w:gridSpan w:val="2"/>
            <w:shd w:val="clear" w:color="auto" w:fill="CCEEFF"/>
          </w:tcPr>
          <w:p>
            <w:pPr>
              <w:ind w:left="2500"/>
              <w:spacing w:after="0"/>
              <w:rPr>
                <w:sz w:val="20"/>
                <w:szCs w:val="20"/>
                <w:color w:val="auto"/>
              </w:rPr>
            </w:pPr>
            <w:r>
              <w:rPr>
                <w:rFonts w:ascii="Arial" w:cs="Arial" w:eastAsia="Arial" w:hAnsi="Arial"/>
                <w:sz w:val="18"/>
                <w:szCs w:val="18"/>
                <w:b w:val="1"/>
                <w:bCs w:val="1"/>
                <w:color w:val="auto"/>
              </w:rPr>
              <w:t>Entity Name</w:t>
            </w:r>
          </w:p>
        </w:tc>
        <w:tc>
          <w:tcPr>
            <w:tcW w:w="24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State of Incorporation</w:t>
            </w: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2620" w:type="dxa"/>
            <w:vAlign w:val="bottom"/>
            <w:tcBorders>
              <w:bottom w:val="single" w:sz="8" w:color="auto"/>
              <w:right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Doing Business As</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Applied Health Care,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Management,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Medical Supply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Nursing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PBM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(NY),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Bradhurst Specialty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CHI Holding Corp.</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Chronimed,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CHS Holdings,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Holdings,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Network Services of Illinois,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Healthcare,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Therafusion,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of New York,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Homecare Solutions,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Managed 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Medical Billing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Indiana,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Kentucky,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Michigan,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Enterprises,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HomeCare,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East Goshen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III,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Healthy Connections Homecare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Texas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 I.V. Specialists,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Arkansas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HomeChoice Partners,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InfuCenters,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Infusal Partners</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HHA,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South Carolina,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Sub,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of Brunswick,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of Melbourne,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bl>
    <w:p>
      <w:pPr>
        <w:sectPr>
          <w:pgSz w:w="11900" w:h="16838" w:orient="portrait"/>
          <w:cols w:equalWidth="0" w:num="1">
            <w:col w:w="11220"/>
          </w:cols>
          <w:pgMar w:left="340" w:top="895" w:right="339" w:bottom="1440" w:gutter="0" w:footer="0" w:header="0"/>
        </w:sectPr>
      </w:pPr>
    </w:p>
    <w:bookmarkStart w:id="100" w:name="page101"/>
    <w:bookmarkEnd w:id="1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Partners, LLC</w:t>
            </w:r>
          </w:p>
        </w:tc>
        <w:tc>
          <w:tcPr>
            <w:tcW w:w="2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Solutions,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Hampshire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Therapy Specialists,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Nebraska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Knoxville Home Therapies,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Tennessee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MedNow Infusion,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National Health Infusion,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Natural Living,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England Home Therapies,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Massachusetts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Nutri USA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Enterprises,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Enterprises,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Health, Inc. (f/k/a BioScrip,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Home Care,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Home Health,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Washington</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Services,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Suites,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of New York,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Health, Ltd.</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Home Health,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OptioNet,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PHCS Acquisition Co,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Professional Home Care Services,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Regional Ambulatory Diagnostics,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River City Pharmacy,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Scott-Wilson,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Kentucky</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Specialty Pharma,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Springville Pharmacy Infusion Therapy,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Trinity Homecare,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Jersey</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University Option Care,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Wilcox Medical,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Vermont</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bl>
    <w:p>
      <w:pPr>
        <w:sectPr>
          <w:pgSz w:w="11900" w:h="16838" w:orient="portrait"/>
          <w:cols w:equalWidth="0" w:num="1">
            <w:col w:w="11220"/>
          </w:cols>
          <w:pgMar w:left="340" w:top="101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Care Health, Inc.:</w:t>
      </w:r>
    </w:p>
    <w:p>
      <w:pPr>
        <w:spacing w:after="0" w:line="170"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 (Nos. 333</w:t>
      </w:r>
      <w:r>
        <w:rPr>
          <w:rFonts w:ascii="MS PGothic" w:cs="MS PGothic" w:eastAsia="MS PGothic" w:hAnsi="MS PGothic"/>
          <w:sz w:val="18"/>
          <w:szCs w:val="18"/>
          <w:color w:val="auto"/>
        </w:rPr>
        <w:t>‑</w:t>
      </w:r>
      <w:r>
        <w:rPr>
          <w:rFonts w:ascii="Arial" w:cs="Arial" w:eastAsia="Arial" w:hAnsi="Arial"/>
          <w:sz w:val="18"/>
          <w:szCs w:val="18"/>
          <w:color w:val="auto"/>
        </w:rPr>
        <w:t>210530, 333-214039, 333-216630, 333-216631, and 333-239504) on Form S-3 and (Nos. 333-228312 and 333-228310) on Form S-8 of Option Care Health, Inc. of our reports dated March 11, 2021, with respect to the consolidated balance sheets of Option Care Health, Inc. as of December 31, 2020 and 2019, the related consolidated statements of comprehensive income (loss), stockholders’ equity, and cash flows for each of the years in the three-year period ended December 31, 2020, and the related notes, and the effectiveness of internal control over financial reporting as of December 31, 2020, which reports appear in the December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Option Care Health,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report dated March 11, 2021, on the consolidated financial statements, refers to a change in method of accounting for leases.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00"/>
          </w:cols>
          <w:pgMar w:left="320" w:top="891" w:right="379" w:bottom="1440" w:gutter="0" w:footer="0" w:header="0"/>
        </w:sectPr>
      </w:pPr>
    </w:p>
    <w:bookmarkStart w:id="102" w:name="page103"/>
    <w:bookmarkEnd w:id="102"/>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240"/>
          </w:cols>
          <w:pgMar w:left="320" w:top="89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p>
      <w:pPr>
        <w:sectPr>
          <w:pgSz w:w="11900" w:h="16838" w:orient="portrait"/>
          <w:cols w:equalWidth="0" w:num="1">
            <w:col w:w="11240"/>
          </w:cols>
          <w:pgMar w:left="320" w:top="89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2020,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2020,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5"/>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01"/>
    </w:lvl>
  </w:abstractNum>
  <w:abstractNum w:abstractNumId="20">
    <w:nsid w:val="8138641"/>
    <w:multiLevelType w:val="hybridMultilevel"/>
    <w:lvl w:ilvl="0">
      <w:lvlJc w:val="left"/>
      <w:lvlText w:val="(%1)"/>
      <w:numFmt w:val="upp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Roman"/>
      <w:start w:val="1"/>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Roman"/>
      <w:start w:val="1"/>
    </w:lvl>
    <w:lvl w:ilvl="1">
      <w:lvlJc w:val="left"/>
      <w:lvlText w:val="(%2)"/>
      <w:numFmt w:val="lowerLetter"/>
      <w:start w:val="5"/>
    </w:lvl>
  </w:abstractNum>
  <w:abstractNum w:abstractNumId="27">
    <w:nsid w:val="3006C83E"/>
    <w:multiLevelType w:val="hybridMultilevel"/>
    <w:lvl w:ilvl="0">
      <w:lvlJc w:val="left"/>
      <w:lvlText w:val="(%1)"/>
      <w:numFmt w:val="lowerRoman"/>
      <w:start w:val="7"/>
    </w:lvl>
    <w:lvl w:ilvl="1">
      <w:lvlJc w:val="left"/>
      <w:lvlText w:val="(%2)"/>
      <w:numFmt w:val="lowerLetter"/>
      <w:start w:val="6"/>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7"/>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5"/>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94" Type="http://schemas.openxmlformats.org/officeDocument/2006/relationships/hyperlink" Target="http://www.sec.gov/Archives/edgar/data/1014739/000095012310005446/y81669aexv2w1.htm" TargetMode="External"/><Relationship Id="rId95" Type="http://schemas.openxmlformats.org/officeDocument/2006/relationships/hyperlink" Target="http://www.sec.gov/Archives/edgar/data/1014739/000114420413005855/v333776_ex2-1.htm" TargetMode="External"/><Relationship Id="rId96" Type="http://schemas.openxmlformats.org/officeDocument/2006/relationships/hyperlink" Target="http://www.sec.gov/Archives/edgar/data/1014739/000114420416107943/v442184_ex2-1.htm" TargetMode="External"/><Relationship Id="rId97" Type="http://schemas.openxmlformats.org/officeDocument/2006/relationships/hyperlink" Target="http://www.sec.gov/Archives/edgar/data/1014739/000114420416108823/v442470_ex2-1.htm" TargetMode="External"/><Relationship Id="rId98" Type="http://schemas.openxmlformats.org/officeDocument/2006/relationships/hyperlink" Target="http://www.sec.gov/Archives/edgar/data/1014739/000114420416122940/v448404_ex2-1.htm" TargetMode="External"/><Relationship Id="rId99" Type="http://schemas.openxmlformats.org/officeDocument/2006/relationships/hyperlink" Target="http://www.sec.gov/Archives/edgar/data/1014739/000114420416123640/v448690_ex2-1.htm" TargetMode="External"/><Relationship Id="rId100" Type="http://schemas.openxmlformats.org/officeDocument/2006/relationships/hyperlink" Target="http://www.sec.gov/Archives/edgar/data/1014739/000114420419014367/tv516369_ex2-1.htm" TargetMode="External"/><Relationship Id="rId101" Type="http://schemas.openxmlformats.org/officeDocument/2006/relationships/hyperlink" Target="http://www.sec.gov/Archives/edgar/data/1014739/000114420419038047/tv526734_ex3-1.htm" TargetMode="External"/><Relationship Id="rId102" Type="http://schemas.openxmlformats.org/officeDocument/2006/relationships/hyperlink" Target="http://www.sec.gov/Archives/edgar/data/1014739/000114420419038047/tv526734_ex3-3.htm" TargetMode="External"/><Relationship Id="rId103" Type="http://schemas.openxmlformats.org/officeDocument/2006/relationships/hyperlink" Target="http://www.sec.gov/Archives/edgar/data/1014739/000114420419038047/tv526734_ex3-4.htm" TargetMode="External"/><Relationship Id="rId104" Type="http://schemas.openxmlformats.org/officeDocument/2006/relationships/hyperlink" Target="http://www.sec.gov/Archives/edgar/data/1014739/000110465920009797/tm206375d1_ex3-1.htm" TargetMode="External"/><Relationship Id="rId105" Type="http://schemas.openxmlformats.org/officeDocument/2006/relationships/hyperlink" Target="http://www.sec.gov/Archives/edgar/data/1014739/000114420415014933/v403951_ex4-1.htm" TargetMode="External"/><Relationship Id="rId106" Type="http://schemas.openxmlformats.org/officeDocument/2006/relationships/hyperlink" Target="http://www.sec.gov/Archives/edgar/data/1014739/000114420416107943/v442184_ex4-1.htm" TargetMode="External"/><Relationship Id="rId107" Type="http://schemas.openxmlformats.org/officeDocument/2006/relationships/hyperlink" Target="http://www.sec.gov/Archives/edgar/data/1014739/000114420416108111/v442259_ex4-1.htm" TargetMode="External"/><Relationship Id="rId108" Type="http://schemas.openxmlformats.org/officeDocument/2006/relationships/hyperlink" Target="http://www.sec.gov/Archives/edgar/data/1014739/000114420415034216/v411770_ex4-1.htm" TargetMode="External"/><Relationship Id="rId111" Type="http://schemas.openxmlformats.org/officeDocument/2006/relationships/hyperlink" Target="http://www.sec.gov/Archives/edgar/data/1014739/000114420415044654/v416452_ex4-1.htm" TargetMode="External"/><Relationship Id="rId112" Type="http://schemas.openxmlformats.org/officeDocument/2006/relationships/hyperlink" Target="http://www.sec.gov/Archives/edgar/data/1014739/000114420417012539/v460823_ex4-1.htm" TargetMode="External"/><Relationship Id="rId113" Type="http://schemas.openxmlformats.org/officeDocument/2006/relationships/hyperlink" Target="http://www.sec.gov/Archives/edgar/data/1014739/000114420417034758/v469985_ex4-2.htm" TargetMode="External"/><Relationship Id="rId114" Type="http://schemas.openxmlformats.org/officeDocument/2006/relationships/hyperlink" Target="http://www.sec.gov/Archives/edgar/data/1014739/000114420419014367/tv516369_ex10-4.htm" TargetMode="External"/><Relationship Id="rId115" Type="http://schemas.openxmlformats.org/officeDocument/2006/relationships/hyperlink" Target="http://www.sec.gov/Archives/edgar/data/1014739/000114420417034758/v469985_ex4-1.htm" TargetMode="External"/><Relationship Id="rId116" Type="http://schemas.openxmlformats.org/officeDocument/2006/relationships/hyperlink" Target="http://www.sec.gov/Archives/edgar/data/1014739/000114420419038047/tv526734_ex4-1.htm" TargetMode="External"/><Relationship Id="rId117" Type="http://schemas.openxmlformats.org/officeDocument/2006/relationships/hyperlink" Target="http://www.sec.gov/Archives/edgar/data/1014739/000110465919065468/tm1923335d1_ex4-1.htm" TargetMode="External"/><Relationship Id="rId118" Type="http://schemas.openxmlformats.org/officeDocument/2006/relationships/hyperlink" Target="http://www.sec.gov/Archives/edgar/data/1014739/000101473920000013/bios-ex412x20191231x10k.htm" TargetMode="External"/><Relationship Id="rId119" Type="http://schemas.openxmlformats.org/officeDocument/2006/relationships/hyperlink" Target="http://www.sec.gov/Archives/edgar/data/1014739/000114420418019098/tv490005-def14a.htm" TargetMode="External"/><Relationship Id="rId120" Type="http://schemas.openxmlformats.org/officeDocument/2006/relationships/hyperlink" Target="http://www.sec.gov/Archives/edgar/data/1014739/000114420419014367/tv516369_ex10-2.htm" TargetMode="External"/><Relationship Id="rId121" Type="http://schemas.openxmlformats.org/officeDocument/2006/relationships/hyperlink" Target="http://www.sec.gov/Archives/edgar/data/1014739/000114420419014367/tv516369_ex10-3.htm" TargetMode="External"/><Relationship Id="rId122" Type="http://schemas.openxmlformats.org/officeDocument/2006/relationships/hyperlink" Target="http://www.sec.gov/Archives/edgar/data/1014739/000114420419038047/tv526734_ex10-1.htm" TargetMode="External"/><Relationship Id="rId123" Type="http://schemas.openxmlformats.org/officeDocument/2006/relationships/hyperlink" Target="http://www.sec.gov/Archives/edgar/data/1014739/000114420419038047/tv526734_ex10-2.htm" TargetMode="External"/><Relationship Id="rId124" Type="http://schemas.openxmlformats.org/officeDocument/2006/relationships/hyperlink" Target="http://www.sec.gov/Archives/edgar/data/1014739/000114420419038047/tv526734_ex10-3.htm" TargetMode="External"/><Relationship Id="rId125" Type="http://schemas.openxmlformats.org/officeDocument/2006/relationships/hyperlink" Target="http://www.sec.gov/Archives/edgar/data/1014739/000114420419038047/tv526734_ex10-4.htm" TargetMode="External"/><Relationship Id="rId126" Type="http://schemas.openxmlformats.org/officeDocument/2006/relationships/hyperlink" Target="http://www.sec.gov/Archives/edgar/data/1014739/000114420419038047/tv526734_ex10-5.htm" TargetMode="External"/><Relationship Id="rId127" Type="http://schemas.openxmlformats.org/officeDocument/2006/relationships/hyperlink" Target="http://www.sec.gov/Archives/edgar/data/1014739/000114420419038051/tv526894_ex10-1.htm" TargetMode="External"/><Relationship Id="rId128" Type="http://schemas.openxmlformats.org/officeDocument/2006/relationships/hyperlink" Target="http://www.sec.gov/Archives/edgar/data/1014739/000114420419038051/tv526894_ex10-2.htm" TargetMode="External"/><Relationship Id="rId129" Type="http://schemas.openxmlformats.org/officeDocument/2006/relationships/hyperlink" Target="http://www.sec.gov/Archives/edgar/data/1014739/000114420419038051/tv526894_ex10-3.htm" TargetMode="External"/><Relationship Id="rId130" Type="http://schemas.openxmlformats.org/officeDocument/2006/relationships/hyperlink" Target="http://www.sec.gov/Archives/edgar/data/1014739/000101473920000031/a101_firstxamendmentxto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2021-03-11T16:04:41Z</dcterms:created>
  <dcterms:modified xsi:type="dcterms:W3CDTF">2021-03-11T16:04:41Z</dcterms:modified>
</cp:coreProperties>
</file>