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Option Care Health,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Durable Capital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6,163,722.00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6,163,722.00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6,163,722.00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3"/>
        <w:gridCol w:w="8907"/>
        <w:gridCol w:w="155"/>
      </w:tblGrid>
      <w:tr>
        <w:trPr/>
        <w:tc>
          <w:tcPr>
            <w:tcW w:w="1143" w:type="dxa"/>
            <w:tcBorders/>
            <w:vAlign w:val="center"/>
          </w:tcPr>
          <w:p>
            <w:pPr>
              <w:pStyle w:val="TableContents"/>
              <w:bidi w:val="0"/>
              <w:spacing w:before="0" w:after="283"/>
              <w:jc w:val="left"/>
              <w:rPr/>
            </w:pPr>
            <w:r>
              <w:rPr/>
              <w:t>Item 1.</w:t>
            </w:r>
          </w:p>
        </w:tc>
        <w:tc>
          <w:tcPr>
            <w:tcW w:w="890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Name of issuer: </w:t>
            </w:r>
          </w:p>
          <w:p>
            <w:pPr>
              <w:pStyle w:val="TableContents"/>
              <w:bidi w:val="0"/>
              <w:spacing w:before="0" w:after="0"/>
              <w:jc w:val="left"/>
              <w:rPr/>
            </w:pPr>
            <w:r>
              <w:rPr/>
              <w:t>Option Care Health, Inc.</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3000 Lakeside Dr., Suite 300N, Bannockburn, IL 60015</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2.</w:t>
            </w:r>
          </w:p>
        </w:tc>
        <w:tc>
          <w:tcPr>
            <w:tcW w:w="890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Name of person filing: </w:t>
            </w:r>
          </w:p>
          <w:p>
            <w:pPr>
              <w:pStyle w:val="TableContents"/>
              <w:bidi w:val="0"/>
              <w:spacing w:before="0" w:after="0"/>
              <w:jc w:val="left"/>
              <w:rPr/>
            </w:pPr>
            <w:r>
              <w:rPr/>
              <w:t>Durable Capital Partners LP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4747 Bethesda Avenue, Suite 1002, Bethesda, Maryland 20814</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jc w:val="left"/>
              <w:rPr/>
            </w:pPr>
            <w:r>
              <w:rPr/>
              <w:t xml:space="preserve">Citizenship: </w:t>
            </w:r>
          </w:p>
          <w:p>
            <w:pPr>
              <w:pStyle w:val="TableContents"/>
              <w:bidi w:val="0"/>
              <w:spacing w:before="0" w:after="0"/>
              <w:jc w:val="left"/>
              <w:rPr/>
            </w:pPr>
            <w:r>
              <w:rPr/>
              <w:t>The Reporting Person is a limited partnership organized under the laws of the State of Delaware.</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(d)</w:t>
            </w:r>
          </w:p>
        </w:tc>
        <w:tc>
          <w:tcPr>
            <w:tcW w:w="890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(e)</w:t>
            </w:r>
          </w:p>
        </w:tc>
        <w:tc>
          <w:tcPr>
            <w:tcW w:w="890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3.</w:t>
            </w:r>
          </w:p>
        </w:tc>
        <w:tc>
          <w:tcPr>
            <w:tcW w:w="890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(d)</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(e)</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(f)</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(g)</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(h)</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(j)</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(k)</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9062" w:type="dxa"/>
            <w:gridSpan w:val="2"/>
            <w:tcBorders/>
            <w:vAlign w:val="center"/>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4.</w:t>
            </w:r>
          </w:p>
        </w:tc>
        <w:tc>
          <w:tcPr>
            <w:tcW w:w="890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this item with respect to the Reporting Person is set forth in Rows 5 through 9 and 11 of the cover page to this Schedule 13G. The ownership percentages reported are based on 157,027,504 outstanding Common Stock, $0.0001 par value per share (the "Shares") as of April 28, 2026, as reported in the Issuer's Form 10-Q filed with the Securities and Exchange Commission on April 30, 2026. Durable Capital Master Fund LP directly holds 6,163,722 Shares. The Reporting Person, as the investment adviser to Durable Capital Master Fund LP, has sole power to direct the vote and disposition of the Shares. Durable Capital Partners GP LLC ("Durable GP") is the general partner of the Reporting Person, and Henry Ellenbogen is the chief investment officer of the Reporting Person and the managing member of Durable GP.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3.9  %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6163722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6163722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5.</w:t>
            </w:r>
          </w:p>
        </w:tc>
        <w:tc>
          <w:tcPr>
            <w:tcW w:w="890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6.</w:t>
            </w:r>
          </w:p>
        </w:tc>
        <w:tc>
          <w:tcPr>
            <w:tcW w:w="890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disclosure of relationships among parties under Item 4. The economic benefits of the Shares are shared based on agreements among the parties.</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7.</w:t>
            </w:r>
          </w:p>
        </w:tc>
        <w:tc>
          <w:tcPr>
            <w:tcW w:w="890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control and Shares holding disclosure in Item 4.</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8.</w:t>
            </w:r>
          </w:p>
        </w:tc>
        <w:tc>
          <w:tcPr>
            <w:tcW w:w="890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9.</w:t>
            </w:r>
          </w:p>
        </w:tc>
        <w:tc>
          <w:tcPr>
            <w:tcW w:w="890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Durable Capital Partners LP</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0"/>
        <w:gridCol w:w="4295"/>
      </w:tblGrid>
      <w:tr>
        <w:trPr/>
        <w:tc>
          <w:tcPr>
            <w:tcW w:w="59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Julie Jack</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Authorized Person</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1077</Words>
  <Characters>5486</Characters>
  <CharactersWithSpaces>6556</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