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345440</wp:posOffset>
            </wp:positionH>
            <wp:positionV relativeFrom="page">
              <wp:posOffset>800735</wp:posOffset>
            </wp:positionV>
            <wp:extent cx="686625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4318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1100" w:right="1900" w:hanging="626"/>
        <w:spacing w:after="0" w:line="281" w:lineRule="auto"/>
        <w:tabs>
          <w:tab w:leader="none" w:pos="11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2020</w:t>
      </w:r>
    </w:p>
    <w:p>
      <w:pPr>
        <w:spacing w:after="0" w:line="1"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1100" w:hanging="626"/>
        <w:spacing w:after="0"/>
        <w:tabs>
          <w:tab w:leader="none" w:pos="11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sz w:val="24"/>
          <w:szCs w:val="24"/>
          <w:color w:val="auto"/>
        </w:rPr>
      </w:pPr>
    </w:p>
    <w:p>
      <w:pPr>
        <w:ind w:left="1100"/>
        <w:spacing w:after="0"/>
        <w:tabs>
          <w:tab w:leader="none" w:pos="33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12065</wp:posOffset>
            </wp:positionV>
            <wp:extent cx="1714500"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OPTION CARE HEALTH,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09" w:lineRule="exact"/>
        <w:rPr>
          <w:sz w:val="24"/>
          <w:szCs w:val="24"/>
          <w:color w:val="auto"/>
        </w:rPr>
      </w:pPr>
    </w:p>
    <w:tbl>
      <w:tblPr>
        <w:tblLayout w:type="fixed"/>
        <w:tblInd w:w="3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80" w:type="dxa"/>
            <w:vAlign w:val="bottom"/>
          </w:tcPr>
          <w:p>
            <w:pPr>
              <w:jc w:val="right"/>
              <w:ind w:right="2099"/>
              <w:spacing w:after="0"/>
              <w:rPr>
                <w:sz w:val="20"/>
                <w:szCs w:val="20"/>
                <w:color w:val="auto"/>
              </w:rPr>
            </w:pPr>
            <w:r>
              <w:rPr>
                <w:rFonts w:ascii="Arial" w:cs="Arial" w:eastAsia="Arial" w:hAnsi="Arial"/>
                <w:sz w:val="16"/>
                <w:szCs w:val="16"/>
                <w:b w:val="1"/>
                <w:bCs w:val="1"/>
                <w:color w:val="auto"/>
              </w:rPr>
              <w:t>05-0489664</w:t>
            </w:r>
          </w:p>
        </w:tc>
      </w:tr>
      <w:tr>
        <w:trPr>
          <w:trHeight w:val="216"/>
        </w:trPr>
        <w:tc>
          <w:tcPr>
            <w:tcW w:w="6320" w:type="dxa"/>
            <w:vAlign w:val="bottom"/>
            <w:gridSpan w:val="3"/>
          </w:tcPr>
          <w:p>
            <w:pPr>
              <w:jc w:val="center"/>
              <w:ind w:left="179"/>
              <w:spacing w:after="0"/>
              <w:rPr>
                <w:sz w:val="20"/>
                <w:szCs w:val="20"/>
                <w:color w:val="auto"/>
              </w:rPr>
            </w:pPr>
            <w:r>
              <w:rPr>
                <w:rFonts w:ascii="Arial" w:cs="Arial" w:eastAsia="Arial" w:hAnsi="Arial"/>
                <w:sz w:val="16"/>
                <w:szCs w:val="16"/>
                <w:i w:val="1"/>
                <w:iCs w:val="1"/>
                <w:color w:val="auto"/>
                <w:w w:val="94"/>
              </w:rPr>
              <w:t>(State of incorporation)</w:t>
            </w:r>
          </w:p>
        </w:tc>
        <w:tc>
          <w:tcPr>
            <w:tcW w:w="4900" w:type="dxa"/>
            <w:vAlign w:val="bottom"/>
            <w:gridSpan w:val="2"/>
          </w:tcPr>
          <w:p>
            <w:pPr>
              <w:jc w:val="center"/>
              <w:ind w:right="179"/>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216"/>
        </w:trPr>
        <w:tc>
          <w:tcPr>
            <w:tcW w:w="2700" w:type="dxa"/>
            <w:vAlign w:val="bottom"/>
          </w:tcPr>
          <w:p>
            <w:pPr>
              <w:ind w:left="1320"/>
              <w:spacing w:after="0"/>
              <w:rPr>
                <w:sz w:val="20"/>
                <w:szCs w:val="20"/>
                <w:color w:val="auto"/>
              </w:rPr>
            </w:pPr>
            <w:r>
              <w:rPr>
                <w:rFonts w:ascii="Arial" w:cs="Arial" w:eastAsia="Arial" w:hAnsi="Arial"/>
                <w:sz w:val="16"/>
                <w:szCs w:val="16"/>
                <w:b w:val="1"/>
                <w:bCs w:val="1"/>
                <w:color w:val="auto"/>
              </w:rPr>
              <w:t>3000 Lakeside Dr.</w:t>
            </w:r>
          </w:p>
        </w:tc>
        <w:tc>
          <w:tcPr>
            <w:tcW w:w="1080" w:type="dxa"/>
            <w:vAlign w:val="bottom"/>
          </w:tcPr>
          <w:p>
            <w:pPr>
              <w:ind w:left="120"/>
              <w:spacing w:after="0"/>
              <w:rPr>
                <w:sz w:val="20"/>
                <w:szCs w:val="20"/>
                <w:color w:val="auto"/>
              </w:rPr>
            </w:pPr>
            <w:r>
              <w:rPr>
                <w:rFonts w:ascii="Arial" w:cs="Arial" w:eastAsia="Arial" w:hAnsi="Arial"/>
                <w:sz w:val="16"/>
                <w:szCs w:val="16"/>
                <w:b w:val="1"/>
                <w:bCs w:val="1"/>
                <w:color w:val="auto"/>
              </w:rPr>
              <w:t>Suite 300N,</w:t>
            </w:r>
          </w:p>
        </w:tc>
        <w:tc>
          <w:tcPr>
            <w:tcW w:w="2540" w:type="dxa"/>
            <w:vAlign w:val="bottom"/>
          </w:tcPr>
          <w:p>
            <w:pPr>
              <w:ind w:left="120"/>
              <w:spacing w:after="0"/>
              <w:rPr>
                <w:sz w:val="20"/>
                <w:szCs w:val="20"/>
                <w:color w:val="auto"/>
              </w:rPr>
            </w:pPr>
            <w:r>
              <w:rPr>
                <w:rFonts w:ascii="Arial" w:cs="Arial" w:eastAsia="Arial" w:hAnsi="Arial"/>
                <w:sz w:val="16"/>
                <w:szCs w:val="16"/>
                <w:b w:val="1"/>
                <w:bCs w:val="1"/>
                <w:color w:val="auto"/>
              </w:rPr>
              <w:t>Bannockburn,   IL</w:t>
            </w:r>
          </w:p>
        </w:tc>
        <w:tc>
          <w:tcPr>
            <w:tcW w:w="1520" w:type="dxa"/>
            <w:vAlign w:val="bottom"/>
          </w:tcPr>
          <w:p>
            <w:pPr>
              <w:spacing w:after="0"/>
              <w:rPr>
                <w:sz w:val="18"/>
                <w:szCs w:val="18"/>
                <w:color w:val="auto"/>
              </w:rPr>
            </w:pPr>
          </w:p>
        </w:tc>
        <w:tc>
          <w:tcPr>
            <w:tcW w:w="3380" w:type="dxa"/>
            <w:vAlign w:val="bottom"/>
          </w:tcPr>
          <w:p>
            <w:pPr>
              <w:jc w:val="right"/>
              <w:ind w:right="2299"/>
              <w:spacing w:after="0"/>
              <w:rPr>
                <w:sz w:val="20"/>
                <w:szCs w:val="20"/>
                <w:color w:val="auto"/>
              </w:rPr>
            </w:pPr>
            <w:r>
              <w:rPr>
                <w:rFonts w:ascii="Arial" w:cs="Arial" w:eastAsia="Arial" w:hAnsi="Arial"/>
                <w:sz w:val="16"/>
                <w:szCs w:val="16"/>
                <w:b w:val="1"/>
                <w:bCs w:val="1"/>
                <w:color w:val="auto"/>
              </w:rPr>
              <w:t>60015</w:t>
            </w:r>
          </w:p>
        </w:tc>
      </w:tr>
      <w:tr>
        <w:trPr>
          <w:trHeight w:val="216"/>
        </w:trPr>
        <w:tc>
          <w:tcPr>
            <w:tcW w:w="6320" w:type="dxa"/>
            <w:vAlign w:val="bottom"/>
            <w:gridSpan w:val="3"/>
          </w:tcPr>
          <w:p>
            <w:pPr>
              <w:jc w:val="center"/>
              <w:ind w:left="159"/>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1520" w:type="dxa"/>
            <w:vAlign w:val="bottom"/>
          </w:tcPr>
          <w:p>
            <w:pPr>
              <w:spacing w:after="0"/>
              <w:rPr>
                <w:sz w:val="18"/>
                <w:szCs w:val="18"/>
                <w:color w:val="auto"/>
              </w:rPr>
            </w:pPr>
          </w:p>
        </w:tc>
        <w:tc>
          <w:tcPr>
            <w:tcW w:w="3380" w:type="dxa"/>
            <w:vAlign w:val="bottom"/>
          </w:tcPr>
          <w:p>
            <w:pPr>
              <w:jc w:val="center"/>
              <w:ind w:right="1699"/>
              <w:spacing w:after="0"/>
              <w:rPr>
                <w:sz w:val="20"/>
                <w:szCs w:val="20"/>
                <w:color w:val="auto"/>
              </w:rPr>
            </w:pPr>
            <w:r>
              <w:rPr>
                <w:rFonts w:ascii="Arial" w:cs="Arial" w:eastAsia="Arial" w:hAnsi="Arial"/>
                <w:sz w:val="16"/>
                <w:szCs w:val="16"/>
                <w:i w:val="1"/>
                <w:iCs w:val="1"/>
                <w:color w:val="auto"/>
                <w:w w:val="95"/>
              </w:rPr>
              <w:t>(Zip Code)</w:t>
            </w:r>
          </w:p>
        </w:tc>
      </w:tr>
      <w:tr>
        <w:trPr>
          <w:trHeight w:val="276"/>
        </w:trPr>
        <w:tc>
          <w:tcPr>
            <w:tcW w:w="2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6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Registrant’s telephone number, including area code:</w:t>
            </w:r>
          </w:p>
        </w:tc>
        <w:tc>
          <w:tcPr>
            <w:tcW w:w="3380" w:type="dxa"/>
            <w:vAlign w:val="bottom"/>
          </w:tcPr>
          <w:p>
            <w:pPr>
              <w:spacing w:after="0"/>
              <w:rPr>
                <w:sz w:val="23"/>
                <w:szCs w:val="23"/>
                <w:color w:val="auto"/>
              </w:rPr>
            </w:pPr>
          </w:p>
        </w:tc>
      </w:tr>
      <w:tr>
        <w:trPr>
          <w:trHeight w:val="210"/>
        </w:trPr>
        <w:tc>
          <w:tcPr>
            <w:tcW w:w="2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40" w:type="dxa"/>
            <w:vAlign w:val="bottom"/>
          </w:tcPr>
          <w:p>
            <w:pPr>
              <w:jc w:val="right"/>
              <w:ind w:right="179"/>
              <w:spacing w:after="0"/>
              <w:rPr>
                <w:sz w:val="20"/>
                <w:szCs w:val="20"/>
                <w:color w:val="auto"/>
              </w:rPr>
            </w:pPr>
            <w:r>
              <w:rPr>
                <w:rFonts w:ascii="Arial" w:cs="Arial" w:eastAsia="Arial" w:hAnsi="Arial"/>
                <w:sz w:val="16"/>
                <w:szCs w:val="16"/>
                <w:b w:val="1"/>
                <w:bCs w:val="1"/>
                <w:color w:val="auto"/>
              </w:rPr>
              <w:t>312-940-2443</w:t>
            </w:r>
          </w:p>
        </w:tc>
        <w:tc>
          <w:tcPr>
            <w:tcW w:w="15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60" w:type="dxa"/>
            <w:vAlign w:val="bottom"/>
            <w:gridSpan w:val="2"/>
          </w:tcPr>
          <w:p>
            <w:pPr>
              <w:ind w:left="4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3380" w:type="dxa"/>
            <w:vAlign w:val="bottom"/>
          </w:tcPr>
          <w:p>
            <w:pPr>
              <w:spacing w:after="0"/>
              <w:rPr>
                <w:sz w:val="19"/>
                <w:szCs w:val="19"/>
                <w:color w:val="auto"/>
              </w:rPr>
            </w:pPr>
          </w:p>
        </w:tc>
      </w:tr>
      <w:tr>
        <w:trPr>
          <w:trHeight w:val="155"/>
        </w:trPr>
        <w:tc>
          <w:tcPr>
            <w:tcW w:w="3780" w:type="dxa"/>
            <w:vAlign w:val="bottom"/>
            <w:tcBorders>
              <w:bottom w:val="single" w:sz="8" w:color="auto"/>
            </w:tcBorders>
            <w:gridSpan w:val="2"/>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r>
      <w:tr>
        <w:trPr>
          <w:trHeight w:val="206"/>
        </w:trPr>
        <w:tc>
          <w:tcPr>
            <w:tcW w:w="3780" w:type="dxa"/>
            <w:vAlign w:val="bottom"/>
            <w:tcBorders>
              <w:left w:val="single" w:sz="8" w:color="auto"/>
              <w:bottom w:val="single" w:sz="8" w:color="auto"/>
            </w:tcBorders>
            <w:gridSpan w:val="2"/>
          </w:tcPr>
          <w:p>
            <w:pPr>
              <w:jc w:val="center"/>
              <w:ind w:left="2459"/>
              <w:spacing w:after="0"/>
              <w:rPr>
                <w:sz w:val="20"/>
                <w:szCs w:val="20"/>
                <w:color w:val="auto"/>
              </w:rPr>
            </w:pPr>
            <w:r>
              <w:rPr>
                <w:rFonts w:ascii="Arial" w:cs="Arial" w:eastAsia="Arial" w:hAnsi="Arial"/>
                <w:sz w:val="16"/>
                <w:szCs w:val="16"/>
                <w:color w:val="auto"/>
                <w:w w:val="91"/>
              </w:rPr>
              <w:t>Title of each Class</w:t>
            </w:r>
          </w:p>
        </w:tc>
        <w:tc>
          <w:tcPr>
            <w:tcW w:w="254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0"/>
        </w:trPr>
        <w:tc>
          <w:tcPr>
            <w:tcW w:w="63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OPCH</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71" w:lineRule="exact"/>
        <w:rPr>
          <w:sz w:val="24"/>
          <w:szCs w:val="24"/>
          <w:color w:val="auto"/>
        </w:r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80" w:lineRule="exact"/>
        <w:rPr>
          <w:sz w:val="24"/>
          <w:szCs w:val="24"/>
          <w:color w:val="auto"/>
        </w:rPr>
      </w:pPr>
    </w:p>
    <w:p>
      <w:pPr>
        <w:jc w:val="center"/>
        <w:ind w:right="-159"/>
        <w:spacing w:after="0" w:line="184" w:lineRule="exact"/>
        <w:tabs>
          <w:tab w:leader="none" w:pos="180" w:val="left"/>
          <w:tab w:leader="none" w:pos="180" w:val="left"/>
          <w:tab w:leader="none" w:pos="2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78"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ind w:left="180"/>
        <w:spacing w:after="0" w:line="173" w:lineRule="exact"/>
        <w:tabs>
          <w:tab w:leader="none" w:pos="822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9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On October 30, 2020, there were 186,758,939 shares of the registrant’s Common Stock outstanding.</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620" w:type="dxa"/>
            <w:vAlign w:val="bottom"/>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r>
      <w:tr>
        <w:trPr>
          <w:trHeight w:val="513"/>
        </w:trPr>
        <w:tc>
          <w:tcPr>
            <w:tcW w:w="12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080" w:type="dxa"/>
            <w:vAlign w:val="bottom"/>
          </w:tcPr>
          <w:p>
            <w:pPr>
              <w:jc w:val="center"/>
              <w:ind w:left="1439"/>
              <w:spacing w:after="0"/>
              <w:rPr>
                <w:sz w:val="20"/>
                <w:szCs w:val="20"/>
                <w:color w:val="auto"/>
              </w:rPr>
            </w:pPr>
            <w:r>
              <w:rPr>
                <w:rFonts w:ascii="Arial" w:cs="Arial" w:eastAsia="Arial" w:hAnsi="Arial"/>
                <w:sz w:val="16"/>
                <w:szCs w:val="16"/>
                <w:b w:val="1"/>
                <w:bCs w:val="1"/>
                <w:color w:val="auto"/>
                <w:w w:val="83"/>
              </w:rPr>
              <w:t>Page</w:t>
            </w:r>
          </w:p>
        </w:tc>
      </w:tr>
      <w:tr>
        <w:trPr>
          <w:trHeight w:val="210"/>
        </w:trPr>
        <w:tc>
          <w:tcPr>
            <w:tcW w:w="128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80" w:type="dxa"/>
            <w:vAlign w:val="bottom"/>
          </w:tcPr>
          <w:p>
            <w:pPr>
              <w:jc w:val="center"/>
              <w:ind w:left="1439"/>
              <w:spacing w:after="0"/>
              <w:rPr>
                <w:sz w:val="20"/>
                <w:szCs w:val="20"/>
                <w:color w:val="auto"/>
              </w:rPr>
            </w:pPr>
            <w:r>
              <w:rPr>
                <w:rFonts w:ascii="Arial" w:cs="Arial" w:eastAsia="Arial" w:hAnsi="Arial"/>
                <w:sz w:val="16"/>
                <w:szCs w:val="16"/>
                <w:b w:val="1"/>
                <w:bCs w:val="1"/>
                <w:color w:val="auto"/>
                <w:w w:val="92"/>
              </w:rPr>
              <w:t>Number</w:t>
            </w:r>
          </w:p>
        </w:tc>
      </w:tr>
      <w:tr>
        <w:trPr>
          <w:trHeight w:val="216"/>
        </w:trPr>
        <w:tc>
          <w:tcPr>
            <w:tcW w:w="1280" w:type="dxa"/>
            <w:vAlign w:val="bottom"/>
          </w:tcPr>
          <w:p>
            <w:pPr>
              <w:spacing w:after="0"/>
              <w:rPr>
                <w:sz w:val="18"/>
                <w:szCs w:val="18"/>
                <w:color w:val="auto"/>
              </w:rPr>
            </w:pPr>
          </w:p>
        </w:tc>
        <w:tc>
          <w:tcPr>
            <w:tcW w:w="7620" w:type="dxa"/>
            <w:vAlign w:val="bottom"/>
          </w:tcPr>
          <w:p>
            <w:pPr>
              <w:ind w:left="4040"/>
              <w:spacing w:after="0"/>
              <w:rPr>
                <w:sz w:val="20"/>
                <w:szCs w:val="20"/>
                <w:color w:val="auto"/>
              </w:rPr>
            </w:pPr>
            <w:r>
              <w:rPr>
                <w:rFonts w:ascii="Arial" w:cs="Arial" w:eastAsia="Arial" w:hAnsi="Arial"/>
                <w:sz w:val="16"/>
                <w:szCs w:val="16"/>
                <w:b w:val="1"/>
                <w:bCs w:val="1"/>
                <w:color w:val="auto"/>
              </w:rPr>
              <w:t>PART I</w:t>
            </w:r>
          </w:p>
        </w:tc>
        <w:tc>
          <w:tcPr>
            <w:tcW w:w="2080" w:type="dxa"/>
            <w:vAlign w:val="bottom"/>
          </w:tcPr>
          <w:p>
            <w:pPr>
              <w:spacing w:after="0"/>
              <w:rPr>
                <w:sz w:val="18"/>
                <w:szCs w:val="18"/>
                <w:color w:val="auto"/>
              </w:rPr>
            </w:pPr>
          </w:p>
        </w:tc>
      </w:tr>
      <w:tr>
        <w:trPr>
          <w:trHeight w:val="378"/>
        </w:trPr>
        <w:tc>
          <w:tcPr>
            <w:tcW w:w="1280" w:type="dxa"/>
            <w:vAlign w:val="bottom"/>
          </w:tcPr>
          <w:p>
            <w:pPr>
              <w:spacing w:after="0"/>
              <w:rPr>
                <w:rFonts w:ascii="Arial" w:cs="Arial" w:eastAsia="Arial" w:hAnsi="Arial"/>
                <w:sz w:val="16"/>
                <w:szCs w:val="16"/>
                <w:color w:val="0000FF"/>
              </w:rPr>
            </w:pPr>
            <w:hyperlink w:anchor="page3">
              <w:r>
                <w:rPr>
                  <w:rFonts w:ascii="Arial" w:cs="Arial" w:eastAsia="Arial" w:hAnsi="Arial"/>
                  <w:sz w:val="16"/>
                  <w:szCs w:val="16"/>
                  <w:u w:val="single" w:color="auto"/>
                  <w:color w:val="0000FF"/>
                </w:rPr>
                <w:t>Item 1</w:t>
              </w:r>
              <w:r>
                <w:rPr>
                  <w:rFonts w:ascii="Arial" w:cs="Arial" w:eastAsia="Arial" w:hAnsi="Arial"/>
                  <w:sz w:val="16"/>
                  <w:szCs w:val="16"/>
                  <w:color w:val="0000FF"/>
                </w:rPr>
                <w:t>.</w:t>
              </w:r>
            </w:hyperlink>
          </w:p>
        </w:tc>
        <w:tc>
          <w:tcPr>
            <w:tcW w:w="7620" w:type="dxa"/>
            <w:vAlign w:val="bottom"/>
          </w:tcPr>
          <w:p>
            <w:pPr>
              <w:ind w:left="30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Financial Statements</w:t>
              </w:r>
            </w:hyperlink>
          </w:p>
        </w:tc>
        <w:tc>
          <w:tcPr>
            <w:tcW w:w="2080" w:type="dxa"/>
            <w:vAlign w:val="bottom"/>
          </w:tcPr>
          <w:p>
            <w:pPr>
              <w:jc w:val="center"/>
              <w:ind w:left="1439"/>
              <w:spacing w:after="0"/>
              <w:rPr>
                <w:rFonts w:ascii="Arial" w:cs="Arial" w:eastAsia="Arial" w:hAnsi="Arial"/>
                <w:sz w:val="16"/>
                <w:szCs w:val="16"/>
                <w:u w:val="single" w:color="auto"/>
                <w:color w:val="0000FF"/>
                <w:w w:val="89"/>
              </w:rPr>
            </w:pPr>
            <w:hyperlink w:anchor="page3">
              <w:r>
                <w:rPr>
                  <w:rFonts w:ascii="Arial" w:cs="Arial" w:eastAsia="Arial" w:hAnsi="Arial"/>
                  <w:sz w:val="16"/>
                  <w:szCs w:val="16"/>
                  <w:u w:val="single" w:color="auto"/>
                  <w:color w:val="0000FF"/>
                  <w:w w:val="89"/>
                </w:rPr>
                <w:t>3</w:t>
              </w:r>
            </w:hyperlink>
          </w:p>
        </w:tc>
      </w:tr>
      <w:tr>
        <w:trPr>
          <w:trHeight w:val="216"/>
        </w:trPr>
        <w:tc>
          <w:tcPr>
            <w:tcW w:w="1280" w:type="dxa"/>
            <w:vAlign w:val="bottom"/>
          </w:tcPr>
          <w:p>
            <w:pPr>
              <w:spacing w:after="0"/>
              <w:rPr>
                <w:sz w:val="18"/>
                <w:szCs w:val="18"/>
                <w:color w:val="auto"/>
              </w:rPr>
            </w:pPr>
          </w:p>
        </w:tc>
        <w:tc>
          <w:tcPr>
            <w:tcW w:w="7620" w:type="dxa"/>
            <w:vAlign w:val="bottom"/>
          </w:tcPr>
          <w:p>
            <w:pPr>
              <w:ind w:left="30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Condensed Consolidated Balance Sheets</w:t>
              </w:r>
            </w:hyperlink>
          </w:p>
        </w:tc>
        <w:tc>
          <w:tcPr>
            <w:tcW w:w="2080" w:type="dxa"/>
            <w:vAlign w:val="bottom"/>
          </w:tcPr>
          <w:p>
            <w:pPr>
              <w:jc w:val="center"/>
              <w:ind w:left="1439"/>
              <w:spacing w:after="0"/>
              <w:rPr>
                <w:rFonts w:ascii="Arial" w:cs="Arial" w:eastAsia="Arial" w:hAnsi="Arial"/>
                <w:sz w:val="16"/>
                <w:szCs w:val="16"/>
                <w:u w:val="single" w:color="auto"/>
                <w:color w:val="0000FF"/>
                <w:w w:val="89"/>
              </w:rPr>
            </w:pPr>
            <w:hyperlink w:anchor="page3">
              <w:r>
                <w:rPr>
                  <w:rFonts w:ascii="Arial" w:cs="Arial" w:eastAsia="Arial" w:hAnsi="Arial"/>
                  <w:sz w:val="16"/>
                  <w:szCs w:val="16"/>
                  <w:u w:val="single" w:color="auto"/>
                  <w:color w:val="0000FF"/>
                  <w:w w:val="89"/>
                </w:rPr>
                <w:t>4</w:t>
              </w:r>
            </w:hyperlink>
          </w:p>
        </w:tc>
      </w:tr>
      <w:tr>
        <w:trPr>
          <w:trHeight w:val="216"/>
        </w:trPr>
        <w:tc>
          <w:tcPr>
            <w:tcW w:w="1280" w:type="dxa"/>
            <w:vAlign w:val="bottom"/>
          </w:tcPr>
          <w:p>
            <w:pPr>
              <w:spacing w:after="0"/>
              <w:rPr>
                <w:sz w:val="18"/>
                <w:szCs w:val="18"/>
                <w:color w:val="auto"/>
              </w:rPr>
            </w:pPr>
          </w:p>
        </w:tc>
        <w:tc>
          <w:tcPr>
            <w:tcW w:w="7620" w:type="dxa"/>
            <w:vAlign w:val="bottom"/>
          </w:tcPr>
          <w:p>
            <w:pPr>
              <w:ind w:left="30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Unaudited Condensed Consolidated Statements of Comprehensive Income (Loss)</w:t>
              </w:r>
            </w:hyperlink>
          </w:p>
        </w:tc>
        <w:tc>
          <w:tcPr>
            <w:tcW w:w="2080" w:type="dxa"/>
            <w:vAlign w:val="bottom"/>
          </w:tcPr>
          <w:p>
            <w:pPr>
              <w:jc w:val="center"/>
              <w:ind w:left="1439"/>
              <w:spacing w:after="0"/>
              <w:rPr>
                <w:rFonts w:ascii="Arial" w:cs="Arial" w:eastAsia="Arial" w:hAnsi="Arial"/>
                <w:sz w:val="16"/>
                <w:szCs w:val="16"/>
                <w:u w:val="single" w:color="auto"/>
                <w:color w:val="0000FF"/>
                <w:w w:val="89"/>
              </w:rPr>
            </w:pPr>
            <w:hyperlink w:anchor="page4">
              <w:r>
                <w:rPr>
                  <w:rFonts w:ascii="Arial" w:cs="Arial" w:eastAsia="Arial" w:hAnsi="Arial"/>
                  <w:sz w:val="16"/>
                  <w:szCs w:val="16"/>
                  <w:u w:val="single" w:color="auto"/>
                  <w:color w:val="0000FF"/>
                  <w:w w:val="89"/>
                </w:rPr>
                <w:t>5</w:t>
              </w:r>
            </w:hyperlink>
          </w:p>
        </w:tc>
      </w:tr>
      <w:tr>
        <w:trPr>
          <w:trHeight w:val="216"/>
        </w:trPr>
        <w:tc>
          <w:tcPr>
            <w:tcW w:w="1280" w:type="dxa"/>
            <w:vAlign w:val="bottom"/>
          </w:tcPr>
          <w:p>
            <w:pPr>
              <w:spacing w:after="0"/>
              <w:rPr>
                <w:sz w:val="18"/>
                <w:szCs w:val="18"/>
                <w:color w:val="auto"/>
              </w:rPr>
            </w:pPr>
          </w:p>
        </w:tc>
        <w:tc>
          <w:tcPr>
            <w:tcW w:w="7620" w:type="dxa"/>
            <w:vAlign w:val="bottom"/>
          </w:tcPr>
          <w:p>
            <w:pPr>
              <w:ind w:left="30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Unaudited Condensed Consolidated Statements of Cash Flows</w:t>
              </w:r>
            </w:hyperlink>
          </w:p>
        </w:tc>
        <w:tc>
          <w:tcPr>
            <w:tcW w:w="2080" w:type="dxa"/>
            <w:vAlign w:val="bottom"/>
          </w:tcPr>
          <w:p>
            <w:pPr>
              <w:jc w:val="center"/>
              <w:ind w:left="1439"/>
              <w:spacing w:after="0"/>
              <w:rPr>
                <w:rFonts w:ascii="Arial" w:cs="Arial" w:eastAsia="Arial" w:hAnsi="Arial"/>
                <w:sz w:val="16"/>
                <w:szCs w:val="16"/>
                <w:u w:val="single" w:color="auto"/>
                <w:color w:val="0000FF"/>
                <w:w w:val="89"/>
              </w:rPr>
            </w:pPr>
            <w:hyperlink w:anchor="page5">
              <w:r>
                <w:rPr>
                  <w:rFonts w:ascii="Arial" w:cs="Arial" w:eastAsia="Arial" w:hAnsi="Arial"/>
                  <w:sz w:val="16"/>
                  <w:szCs w:val="16"/>
                  <w:u w:val="single" w:color="auto"/>
                  <w:color w:val="0000FF"/>
                  <w:w w:val="89"/>
                </w:rPr>
                <w:t>6</w:t>
              </w:r>
            </w:hyperlink>
          </w:p>
        </w:tc>
      </w:tr>
      <w:tr>
        <w:trPr>
          <w:trHeight w:val="216"/>
        </w:trPr>
        <w:tc>
          <w:tcPr>
            <w:tcW w:w="1280" w:type="dxa"/>
            <w:vAlign w:val="bottom"/>
          </w:tcPr>
          <w:p>
            <w:pPr>
              <w:spacing w:after="0"/>
              <w:rPr>
                <w:sz w:val="18"/>
                <w:szCs w:val="18"/>
                <w:color w:val="auto"/>
              </w:rPr>
            </w:pPr>
          </w:p>
        </w:tc>
        <w:tc>
          <w:tcPr>
            <w:tcW w:w="7620" w:type="dxa"/>
            <w:vAlign w:val="bottom"/>
          </w:tcPr>
          <w:p>
            <w:pPr>
              <w:ind w:left="30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Unaudited Condensed Consolidated Statements of Stockholders’ Equity</w:t>
              </w:r>
            </w:hyperlink>
          </w:p>
        </w:tc>
        <w:tc>
          <w:tcPr>
            <w:tcW w:w="2080" w:type="dxa"/>
            <w:vAlign w:val="bottom"/>
          </w:tcPr>
          <w:p>
            <w:pPr>
              <w:jc w:val="center"/>
              <w:ind w:left="1439"/>
              <w:spacing w:after="0"/>
              <w:rPr>
                <w:rFonts w:ascii="Arial" w:cs="Arial" w:eastAsia="Arial" w:hAnsi="Arial"/>
                <w:sz w:val="16"/>
                <w:szCs w:val="16"/>
                <w:u w:val="single" w:color="auto"/>
                <w:color w:val="0000FF"/>
                <w:w w:val="89"/>
              </w:rPr>
            </w:pPr>
            <w:hyperlink w:anchor="page6">
              <w:r>
                <w:rPr>
                  <w:rFonts w:ascii="Arial" w:cs="Arial" w:eastAsia="Arial" w:hAnsi="Arial"/>
                  <w:sz w:val="16"/>
                  <w:szCs w:val="16"/>
                  <w:u w:val="single" w:color="auto"/>
                  <w:color w:val="0000FF"/>
                  <w:w w:val="89"/>
                </w:rPr>
                <w:t>8</w:t>
              </w:r>
            </w:hyperlink>
          </w:p>
        </w:tc>
      </w:tr>
      <w:tr>
        <w:trPr>
          <w:trHeight w:val="216"/>
        </w:trPr>
        <w:tc>
          <w:tcPr>
            <w:tcW w:w="1280" w:type="dxa"/>
            <w:vAlign w:val="bottom"/>
          </w:tcPr>
          <w:p>
            <w:pPr>
              <w:spacing w:after="0"/>
              <w:rPr>
                <w:sz w:val="18"/>
                <w:szCs w:val="18"/>
                <w:color w:val="auto"/>
              </w:rPr>
            </w:pPr>
          </w:p>
        </w:tc>
        <w:tc>
          <w:tcPr>
            <w:tcW w:w="7620" w:type="dxa"/>
            <w:vAlign w:val="bottom"/>
          </w:tcPr>
          <w:p>
            <w:pPr>
              <w:ind w:left="300"/>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Notes to Unaudited Condensed Consolidated Financial Statements</w:t>
              </w:r>
            </w:hyperlink>
          </w:p>
        </w:tc>
        <w:tc>
          <w:tcPr>
            <w:tcW w:w="2080" w:type="dxa"/>
            <w:vAlign w:val="bottom"/>
          </w:tcPr>
          <w:p>
            <w:pPr>
              <w:jc w:val="center"/>
              <w:ind w:left="1439"/>
              <w:spacing w:after="0"/>
              <w:rPr>
                <w:rFonts w:ascii="Arial" w:cs="Arial" w:eastAsia="Arial" w:hAnsi="Arial"/>
                <w:sz w:val="16"/>
                <w:szCs w:val="16"/>
                <w:u w:val="single" w:color="auto"/>
                <w:color w:val="0000FF"/>
                <w:w w:val="89"/>
              </w:rPr>
            </w:pPr>
            <w:hyperlink w:anchor="page8">
              <w:r>
                <w:rPr>
                  <w:rFonts w:ascii="Arial" w:cs="Arial" w:eastAsia="Arial" w:hAnsi="Arial"/>
                  <w:sz w:val="16"/>
                  <w:szCs w:val="16"/>
                  <w:u w:val="single" w:color="auto"/>
                  <w:color w:val="0000FF"/>
                  <w:w w:val="89"/>
                </w:rPr>
                <w:t>10</w:t>
              </w:r>
            </w:hyperlink>
          </w:p>
        </w:tc>
      </w:tr>
      <w:tr>
        <w:trPr>
          <w:trHeight w:val="216"/>
        </w:trPr>
        <w:tc>
          <w:tcPr>
            <w:tcW w:w="1280" w:type="dxa"/>
            <w:vAlign w:val="bottom"/>
          </w:tcPr>
          <w:p>
            <w:pPr>
              <w:spacing w:after="0"/>
              <w:rPr>
                <w:rFonts w:ascii="Arial" w:cs="Arial" w:eastAsia="Arial" w:hAnsi="Arial"/>
                <w:sz w:val="16"/>
                <w:szCs w:val="16"/>
                <w:color w:val="0000FF"/>
              </w:rPr>
            </w:pPr>
            <w:hyperlink w:anchor="page24">
              <w:r>
                <w:rPr>
                  <w:rFonts w:ascii="Arial" w:cs="Arial" w:eastAsia="Arial" w:hAnsi="Arial"/>
                  <w:sz w:val="16"/>
                  <w:szCs w:val="16"/>
                  <w:u w:val="single" w:color="auto"/>
                  <w:color w:val="0000FF"/>
                </w:rPr>
                <w:t>Item 2</w:t>
              </w:r>
              <w:r>
                <w:rPr>
                  <w:rFonts w:ascii="Arial" w:cs="Arial" w:eastAsia="Arial" w:hAnsi="Arial"/>
                  <w:sz w:val="16"/>
                  <w:szCs w:val="16"/>
                  <w:color w:val="0000FF"/>
                </w:rPr>
                <w:t>.</w:t>
              </w:r>
            </w:hyperlink>
          </w:p>
        </w:tc>
        <w:tc>
          <w:tcPr>
            <w:tcW w:w="7620" w:type="dxa"/>
            <w:vAlign w:val="bottom"/>
          </w:tcPr>
          <w:p>
            <w:pPr>
              <w:ind w:left="300"/>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Management’s Discussion and Analysis of Financial Condition and Results of Operations</w:t>
              </w:r>
            </w:hyperlink>
          </w:p>
        </w:tc>
        <w:tc>
          <w:tcPr>
            <w:tcW w:w="2080" w:type="dxa"/>
            <w:vAlign w:val="bottom"/>
          </w:tcPr>
          <w:p>
            <w:pPr>
              <w:jc w:val="center"/>
              <w:ind w:left="1439"/>
              <w:spacing w:after="0"/>
              <w:rPr>
                <w:rFonts w:ascii="Arial" w:cs="Arial" w:eastAsia="Arial" w:hAnsi="Arial"/>
                <w:sz w:val="16"/>
                <w:szCs w:val="16"/>
                <w:u w:val="single" w:color="auto"/>
                <w:color w:val="0000FF"/>
                <w:w w:val="89"/>
              </w:rPr>
            </w:pPr>
            <w:hyperlink w:anchor="page24">
              <w:r>
                <w:rPr>
                  <w:rFonts w:ascii="Arial" w:cs="Arial" w:eastAsia="Arial" w:hAnsi="Arial"/>
                  <w:sz w:val="16"/>
                  <w:szCs w:val="16"/>
                  <w:u w:val="single" w:color="auto"/>
                  <w:color w:val="0000FF"/>
                  <w:w w:val="89"/>
                </w:rPr>
                <w:t>26</w:t>
              </w:r>
            </w:hyperlink>
          </w:p>
        </w:tc>
      </w:tr>
      <w:tr>
        <w:trPr>
          <w:trHeight w:val="216"/>
        </w:trPr>
        <w:tc>
          <w:tcPr>
            <w:tcW w:w="1280" w:type="dxa"/>
            <w:vAlign w:val="bottom"/>
          </w:tcPr>
          <w:p>
            <w:pPr>
              <w:spacing w:after="0"/>
              <w:rPr>
                <w:rFonts w:ascii="Arial" w:cs="Arial" w:eastAsia="Arial" w:hAnsi="Arial"/>
                <w:sz w:val="16"/>
                <w:szCs w:val="16"/>
                <w:color w:val="0000FF"/>
              </w:rPr>
            </w:pPr>
            <w:hyperlink w:anchor="page38">
              <w:r>
                <w:rPr>
                  <w:rFonts w:ascii="Arial" w:cs="Arial" w:eastAsia="Arial" w:hAnsi="Arial"/>
                  <w:sz w:val="16"/>
                  <w:szCs w:val="16"/>
                  <w:u w:val="single" w:color="auto"/>
                  <w:color w:val="0000FF"/>
                </w:rPr>
                <w:t>Item 3</w:t>
              </w:r>
              <w:r>
                <w:rPr>
                  <w:rFonts w:ascii="Arial" w:cs="Arial" w:eastAsia="Arial" w:hAnsi="Arial"/>
                  <w:sz w:val="16"/>
                  <w:szCs w:val="16"/>
                  <w:color w:val="0000FF"/>
                </w:rPr>
                <w:t>.</w:t>
              </w:r>
            </w:hyperlink>
          </w:p>
        </w:tc>
        <w:tc>
          <w:tcPr>
            <w:tcW w:w="7620" w:type="dxa"/>
            <w:vAlign w:val="bottom"/>
          </w:tcPr>
          <w:p>
            <w:pPr>
              <w:ind w:left="300"/>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Quantitative and Qualitative Disclosures About Market Risk</w:t>
              </w:r>
            </w:hyperlink>
          </w:p>
        </w:tc>
        <w:tc>
          <w:tcPr>
            <w:tcW w:w="2080" w:type="dxa"/>
            <w:vAlign w:val="bottom"/>
          </w:tcPr>
          <w:p>
            <w:pPr>
              <w:jc w:val="center"/>
              <w:ind w:left="1439"/>
              <w:spacing w:after="0"/>
              <w:rPr>
                <w:rFonts w:ascii="Arial" w:cs="Arial" w:eastAsia="Arial" w:hAnsi="Arial"/>
                <w:sz w:val="16"/>
                <w:szCs w:val="16"/>
                <w:u w:val="single" w:color="auto"/>
                <w:color w:val="0000FF"/>
                <w:w w:val="89"/>
              </w:rPr>
            </w:pPr>
            <w:hyperlink w:anchor="page38">
              <w:r>
                <w:rPr>
                  <w:rFonts w:ascii="Arial" w:cs="Arial" w:eastAsia="Arial" w:hAnsi="Arial"/>
                  <w:sz w:val="16"/>
                  <w:szCs w:val="16"/>
                  <w:u w:val="single" w:color="auto"/>
                  <w:color w:val="0000FF"/>
                  <w:w w:val="89"/>
                </w:rPr>
                <w:t>40</w:t>
              </w:r>
            </w:hyperlink>
          </w:p>
        </w:tc>
      </w:tr>
      <w:tr>
        <w:trPr>
          <w:trHeight w:val="216"/>
        </w:trPr>
        <w:tc>
          <w:tcPr>
            <w:tcW w:w="1280" w:type="dxa"/>
            <w:vAlign w:val="bottom"/>
          </w:tcPr>
          <w:p>
            <w:pPr>
              <w:spacing w:after="0"/>
              <w:rPr>
                <w:rFonts w:ascii="Arial" w:cs="Arial" w:eastAsia="Arial" w:hAnsi="Arial"/>
                <w:sz w:val="16"/>
                <w:szCs w:val="16"/>
                <w:color w:val="0000FF"/>
              </w:rPr>
            </w:pPr>
            <w:hyperlink w:anchor="page39">
              <w:r>
                <w:rPr>
                  <w:rFonts w:ascii="Arial" w:cs="Arial" w:eastAsia="Arial" w:hAnsi="Arial"/>
                  <w:sz w:val="16"/>
                  <w:szCs w:val="16"/>
                  <w:u w:val="single" w:color="auto"/>
                  <w:color w:val="0000FF"/>
                </w:rPr>
                <w:t>Item 4</w:t>
              </w:r>
              <w:r>
                <w:rPr>
                  <w:rFonts w:ascii="Arial" w:cs="Arial" w:eastAsia="Arial" w:hAnsi="Arial"/>
                  <w:sz w:val="16"/>
                  <w:szCs w:val="16"/>
                  <w:color w:val="0000FF"/>
                </w:rPr>
                <w:t>.</w:t>
              </w:r>
            </w:hyperlink>
          </w:p>
        </w:tc>
        <w:tc>
          <w:tcPr>
            <w:tcW w:w="7620" w:type="dxa"/>
            <w:vAlign w:val="bottom"/>
          </w:tcPr>
          <w:p>
            <w:pPr>
              <w:ind w:left="300"/>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Controls and Procedures</w:t>
              </w:r>
            </w:hyperlink>
          </w:p>
        </w:tc>
        <w:tc>
          <w:tcPr>
            <w:tcW w:w="2080" w:type="dxa"/>
            <w:vAlign w:val="bottom"/>
          </w:tcPr>
          <w:p>
            <w:pPr>
              <w:jc w:val="center"/>
              <w:ind w:left="1439"/>
              <w:spacing w:after="0"/>
              <w:rPr>
                <w:rFonts w:ascii="Arial" w:cs="Arial" w:eastAsia="Arial" w:hAnsi="Arial"/>
                <w:sz w:val="16"/>
                <w:szCs w:val="16"/>
                <w:u w:val="single" w:color="auto"/>
                <w:color w:val="0000FF"/>
                <w:w w:val="89"/>
              </w:rPr>
            </w:pPr>
            <w:hyperlink w:anchor="page39">
              <w:r>
                <w:rPr>
                  <w:rFonts w:ascii="Arial" w:cs="Arial" w:eastAsia="Arial" w:hAnsi="Arial"/>
                  <w:sz w:val="16"/>
                  <w:szCs w:val="16"/>
                  <w:u w:val="single" w:color="auto"/>
                  <w:color w:val="0000FF"/>
                  <w:w w:val="89"/>
                </w:rPr>
                <w:t>40</w:t>
              </w:r>
            </w:hyperlink>
          </w:p>
        </w:tc>
      </w:tr>
      <w:tr>
        <w:trPr>
          <w:trHeight w:val="378"/>
        </w:trPr>
        <w:tc>
          <w:tcPr>
            <w:tcW w:w="1280" w:type="dxa"/>
            <w:vAlign w:val="bottom"/>
          </w:tcPr>
          <w:p>
            <w:pPr>
              <w:spacing w:after="0"/>
              <w:rPr>
                <w:sz w:val="24"/>
                <w:szCs w:val="24"/>
                <w:color w:val="auto"/>
              </w:rPr>
            </w:pPr>
          </w:p>
        </w:tc>
        <w:tc>
          <w:tcPr>
            <w:tcW w:w="7620" w:type="dxa"/>
            <w:vAlign w:val="bottom"/>
          </w:tcPr>
          <w:p>
            <w:pPr>
              <w:ind w:left="4000"/>
              <w:spacing w:after="0"/>
              <w:rPr>
                <w:sz w:val="20"/>
                <w:szCs w:val="20"/>
                <w:color w:val="auto"/>
              </w:rPr>
            </w:pPr>
            <w:r>
              <w:rPr>
                <w:rFonts w:ascii="Arial" w:cs="Arial" w:eastAsia="Arial" w:hAnsi="Arial"/>
                <w:sz w:val="16"/>
                <w:szCs w:val="16"/>
                <w:b w:val="1"/>
                <w:bCs w:val="1"/>
                <w:color w:val="auto"/>
              </w:rPr>
              <w:t>PART II</w:t>
            </w:r>
          </w:p>
        </w:tc>
        <w:tc>
          <w:tcPr>
            <w:tcW w:w="2080" w:type="dxa"/>
            <w:vAlign w:val="bottom"/>
          </w:tcPr>
          <w:p>
            <w:pPr>
              <w:spacing w:after="0"/>
              <w:rPr>
                <w:sz w:val="24"/>
                <w:szCs w:val="24"/>
                <w:color w:val="auto"/>
              </w:rPr>
            </w:pPr>
          </w:p>
        </w:tc>
      </w:tr>
      <w:tr>
        <w:trPr>
          <w:trHeight w:val="378"/>
        </w:trPr>
        <w:tc>
          <w:tcPr>
            <w:tcW w:w="1280" w:type="dxa"/>
            <w:vAlign w:val="bottom"/>
          </w:tcPr>
          <w:p>
            <w:pPr>
              <w:spacing w:after="0"/>
              <w:rPr>
                <w:rFonts w:ascii="Arial" w:cs="Arial" w:eastAsia="Arial" w:hAnsi="Arial"/>
                <w:sz w:val="16"/>
                <w:szCs w:val="16"/>
                <w:color w:val="0000FF"/>
              </w:rPr>
            </w:pPr>
            <w:hyperlink w:anchor="page40">
              <w:r>
                <w:rPr>
                  <w:rFonts w:ascii="Arial" w:cs="Arial" w:eastAsia="Arial" w:hAnsi="Arial"/>
                  <w:sz w:val="16"/>
                  <w:szCs w:val="16"/>
                  <w:u w:val="single" w:color="auto"/>
                  <w:color w:val="0000FF"/>
                </w:rPr>
                <w:t>Item 1</w:t>
              </w:r>
              <w:r>
                <w:rPr>
                  <w:rFonts w:ascii="Arial" w:cs="Arial" w:eastAsia="Arial" w:hAnsi="Arial"/>
                  <w:sz w:val="16"/>
                  <w:szCs w:val="16"/>
                  <w:color w:val="0000FF"/>
                </w:rPr>
                <w:t>.</w:t>
              </w:r>
            </w:hyperlink>
          </w:p>
        </w:tc>
        <w:tc>
          <w:tcPr>
            <w:tcW w:w="7620" w:type="dxa"/>
            <w:vAlign w:val="bottom"/>
          </w:tcPr>
          <w:p>
            <w:pPr>
              <w:ind w:left="300"/>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Legal Proceedings</w:t>
              </w:r>
            </w:hyperlink>
          </w:p>
        </w:tc>
        <w:tc>
          <w:tcPr>
            <w:tcW w:w="2080" w:type="dxa"/>
            <w:vAlign w:val="bottom"/>
          </w:tcPr>
          <w:p>
            <w:pPr>
              <w:jc w:val="center"/>
              <w:ind w:left="1439"/>
              <w:spacing w:after="0"/>
              <w:rPr>
                <w:rFonts w:ascii="Arial" w:cs="Arial" w:eastAsia="Arial" w:hAnsi="Arial"/>
                <w:sz w:val="16"/>
                <w:szCs w:val="16"/>
                <w:u w:val="single" w:color="auto"/>
                <w:color w:val="0000FF"/>
                <w:w w:val="89"/>
              </w:rPr>
            </w:pPr>
            <w:hyperlink w:anchor="page40">
              <w:r>
                <w:rPr>
                  <w:rFonts w:ascii="Arial" w:cs="Arial" w:eastAsia="Arial" w:hAnsi="Arial"/>
                  <w:sz w:val="16"/>
                  <w:szCs w:val="16"/>
                  <w:u w:val="single" w:color="auto"/>
                  <w:color w:val="0000FF"/>
                  <w:w w:val="89"/>
                </w:rPr>
                <w:t>41</w:t>
              </w:r>
            </w:hyperlink>
          </w:p>
        </w:tc>
      </w:tr>
      <w:tr>
        <w:trPr>
          <w:trHeight w:val="216"/>
        </w:trPr>
        <w:tc>
          <w:tcPr>
            <w:tcW w:w="1280" w:type="dxa"/>
            <w:vAlign w:val="bottom"/>
          </w:tcPr>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Item 1A.</w:t>
              </w:r>
            </w:hyperlink>
          </w:p>
        </w:tc>
        <w:tc>
          <w:tcPr>
            <w:tcW w:w="7620" w:type="dxa"/>
            <w:vAlign w:val="bottom"/>
          </w:tcPr>
          <w:p>
            <w:pPr>
              <w:ind w:left="300"/>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Risk Factors</w:t>
              </w:r>
            </w:hyperlink>
          </w:p>
        </w:tc>
        <w:tc>
          <w:tcPr>
            <w:tcW w:w="2080" w:type="dxa"/>
            <w:vAlign w:val="bottom"/>
          </w:tcPr>
          <w:p>
            <w:pPr>
              <w:jc w:val="center"/>
              <w:ind w:left="1439"/>
              <w:spacing w:after="0"/>
              <w:rPr>
                <w:rFonts w:ascii="Arial" w:cs="Arial" w:eastAsia="Arial" w:hAnsi="Arial"/>
                <w:sz w:val="16"/>
                <w:szCs w:val="16"/>
                <w:u w:val="single" w:color="auto"/>
                <w:color w:val="0000FF"/>
                <w:w w:val="89"/>
              </w:rPr>
            </w:pPr>
            <w:hyperlink w:anchor="page40">
              <w:r>
                <w:rPr>
                  <w:rFonts w:ascii="Arial" w:cs="Arial" w:eastAsia="Arial" w:hAnsi="Arial"/>
                  <w:sz w:val="16"/>
                  <w:szCs w:val="16"/>
                  <w:u w:val="single" w:color="auto"/>
                  <w:color w:val="0000FF"/>
                  <w:w w:val="89"/>
                </w:rPr>
                <w:t>41</w:t>
              </w:r>
            </w:hyperlink>
          </w:p>
        </w:tc>
      </w:tr>
      <w:tr>
        <w:trPr>
          <w:trHeight w:val="216"/>
        </w:trPr>
        <w:tc>
          <w:tcPr>
            <w:tcW w:w="1280" w:type="dxa"/>
            <w:vAlign w:val="bottom"/>
          </w:tcPr>
          <w:p>
            <w:pPr>
              <w:spacing w:after="0"/>
              <w:rPr>
                <w:rFonts w:ascii="Arial" w:cs="Arial" w:eastAsia="Arial" w:hAnsi="Arial"/>
                <w:sz w:val="16"/>
                <w:szCs w:val="16"/>
                <w:color w:val="0000FF"/>
              </w:rPr>
            </w:pPr>
            <w:hyperlink w:anchor="page40">
              <w:r>
                <w:rPr>
                  <w:rFonts w:ascii="Arial" w:cs="Arial" w:eastAsia="Arial" w:hAnsi="Arial"/>
                  <w:sz w:val="16"/>
                  <w:szCs w:val="16"/>
                  <w:u w:val="single" w:color="auto"/>
                  <w:color w:val="0000FF"/>
                </w:rPr>
                <w:t>Item 6</w:t>
              </w:r>
              <w:r>
                <w:rPr>
                  <w:rFonts w:ascii="Arial" w:cs="Arial" w:eastAsia="Arial" w:hAnsi="Arial"/>
                  <w:sz w:val="16"/>
                  <w:szCs w:val="16"/>
                  <w:color w:val="0000FF"/>
                </w:rPr>
                <w:t>.</w:t>
              </w:r>
            </w:hyperlink>
          </w:p>
        </w:tc>
        <w:tc>
          <w:tcPr>
            <w:tcW w:w="7620" w:type="dxa"/>
            <w:vAlign w:val="bottom"/>
          </w:tcPr>
          <w:p>
            <w:pPr>
              <w:ind w:left="300"/>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Exhibits</w:t>
              </w:r>
            </w:hyperlink>
          </w:p>
        </w:tc>
        <w:tc>
          <w:tcPr>
            <w:tcW w:w="2080" w:type="dxa"/>
            <w:vAlign w:val="bottom"/>
          </w:tcPr>
          <w:p>
            <w:pPr>
              <w:jc w:val="center"/>
              <w:ind w:left="1439"/>
              <w:spacing w:after="0"/>
              <w:rPr>
                <w:rFonts w:ascii="Arial" w:cs="Arial" w:eastAsia="Arial" w:hAnsi="Arial"/>
                <w:sz w:val="16"/>
                <w:szCs w:val="16"/>
                <w:u w:val="single" w:color="auto"/>
                <w:color w:val="0000FF"/>
                <w:w w:val="89"/>
              </w:rPr>
            </w:pPr>
            <w:hyperlink w:anchor="page40">
              <w:r>
                <w:rPr>
                  <w:rFonts w:ascii="Arial" w:cs="Arial" w:eastAsia="Arial" w:hAnsi="Arial"/>
                  <w:sz w:val="16"/>
                  <w:szCs w:val="16"/>
                  <w:u w:val="single" w:color="auto"/>
                  <w:color w:val="0000FF"/>
                  <w:w w:val="89"/>
                </w:rPr>
                <w:t>42</w:t>
              </w:r>
            </w:hyperlink>
          </w:p>
        </w:tc>
      </w:tr>
      <w:tr>
        <w:trPr>
          <w:trHeight w:val="378"/>
        </w:trPr>
        <w:tc>
          <w:tcPr>
            <w:tcW w:w="1280" w:type="dxa"/>
            <w:vAlign w:val="bottom"/>
          </w:tcPr>
          <w:p>
            <w:pPr>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SIGNATURES</w:t>
              </w:r>
            </w:hyperlink>
          </w:p>
        </w:tc>
        <w:tc>
          <w:tcPr>
            <w:tcW w:w="7620" w:type="dxa"/>
            <w:vAlign w:val="bottom"/>
          </w:tcPr>
          <w:p>
            <w:pPr>
              <w:spacing w:after="0"/>
              <w:rPr>
                <w:sz w:val="24"/>
                <w:szCs w:val="24"/>
                <w:color w:val="auto"/>
              </w:rPr>
            </w:pPr>
          </w:p>
        </w:tc>
        <w:tc>
          <w:tcPr>
            <w:tcW w:w="2080" w:type="dxa"/>
            <w:vAlign w:val="bottom"/>
          </w:tcPr>
          <w:p>
            <w:pPr>
              <w:jc w:val="center"/>
              <w:ind w:left="1439"/>
              <w:spacing w:after="0"/>
              <w:rPr>
                <w:rFonts w:ascii="Arial" w:cs="Arial" w:eastAsia="Arial" w:hAnsi="Arial"/>
                <w:sz w:val="16"/>
                <w:szCs w:val="16"/>
                <w:u w:val="single" w:color="auto"/>
                <w:color w:val="0000FF"/>
                <w:w w:val="89"/>
              </w:rPr>
            </w:pPr>
            <w:hyperlink w:anchor="page41">
              <w:r>
                <w:rPr>
                  <w:rFonts w:ascii="Arial" w:cs="Arial" w:eastAsia="Arial" w:hAnsi="Arial"/>
                  <w:sz w:val="16"/>
                  <w:szCs w:val="16"/>
                  <w:u w:val="single" w:color="auto"/>
                  <w:color w:val="0000FF"/>
                  <w:w w:val="89"/>
                </w:rPr>
                <w:t>42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40" w:top="1188" w:right="57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(unaudited)</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9"/>
        </w:trPr>
        <w:tc>
          <w:tcPr>
            <w:tcW w:w="7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September 30, 2020</w:t>
            </w:r>
          </w:p>
        </w:tc>
        <w:tc>
          <w:tcPr>
            <w:tcW w:w="200" w:type="dxa"/>
            <w:vAlign w:val="bottom"/>
          </w:tcPr>
          <w:p>
            <w:pPr>
              <w:spacing w:after="0"/>
              <w:rPr>
                <w:sz w:val="19"/>
                <w:szCs w:val="19"/>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2019</w:t>
            </w:r>
          </w:p>
        </w:tc>
      </w:tr>
      <w:tr>
        <w:trPr>
          <w:trHeight w:val="199"/>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67,056</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320,920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324,416</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115,876</w:t>
            </w: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51,306</w:t>
            </w:r>
          </w:p>
        </w:tc>
      </w:tr>
      <w:tr>
        <w:trPr>
          <w:trHeight w:val="212"/>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676,475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558,654</w:t>
            </w:r>
          </w:p>
        </w:tc>
      </w:tr>
      <w:tr>
        <w:trPr>
          <w:trHeight w:val="34"/>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113,017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133,198</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63,502</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359,766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385,910</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1,428,610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1,425,542</w:t>
            </w: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22,741</w:t>
            </w:r>
          </w:p>
        </w:tc>
      </w:tr>
      <w:tr>
        <w:trPr>
          <w:trHeight w:val="209"/>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1,992,015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2,030,893</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2,668,490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2,589,547</w:t>
            </w:r>
          </w:p>
        </w:tc>
      </w:tr>
      <w:tr>
        <w:trPr>
          <w:trHeight w:val="46"/>
        </w:trPr>
        <w:tc>
          <w:tcPr>
            <w:tcW w:w="74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13"/>
        </w:trPr>
        <w:tc>
          <w:tcPr>
            <w:tcW w:w="74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LIABILITIES AND STOCKHOLDERS’ EQUITY</w:t>
            </w:r>
          </w:p>
        </w:tc>
        <w:tc>
          <w:tcPr>
            <w:tcW w:w="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3"/>
        </w:trPr>
        <w:tc>
          <w:tcPr>
            <w:tcW w:w="74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290,206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221,060</w:t>
            </w:r>
          </w:p>
        </w:tc>
      </w:tr>
      <w:tr>
        <w:trPr>
          <w:trHeight w:val="219"/>
        </w:trPr>
        <w:tc>
          <w:tcPr>
            <w:tcW w:w="7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compensation and employee benefits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45,765</w:t>
            </w:r>
          </w:p>
        </w:tc>
      </w:tr>
      <w:tr>
        <w:trPr>
          <w:trHeight w:val="213"/>
        </w:trPr>
        <w:tc>
          <w:tcPr>
            <w:tcW w:w="7400" w:type="dxa"/>
            <w:vAlign w:val="bottom"/>
          </w:tcPr>
          <w:p>
            <w:pPr>
              <w:ind w:left="12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63,239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33,538</w:t>
            </w:r>
          </w:p>
        </w:tc>
      </w:tr>
      <w:tr>
        <w:trPr>
          <w:trHeight w:val="219"/>
        </w:trPr>
        <w:tc>
          <w:tcPr>
            <w:tcW w:w="7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portion of operating lease liability</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20,391</w:t>
            </w:r>
          </w:p>
        </w:tc>
      </w:tr>
      <w:tr>
        <w:trPr>
          <w:trHeight w:val="213"/>
        </w:trPr>
        <w:tc>
          <w:tcPr>
            <w:tcW w:w="7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9,250</w:t>
            </w:r>
          </w:p>
        </w:tc>
      </w:tr>
      <w:tr>
        <w:trPr>
          <w:trHeight w:val="213"/>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433,173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330,004</w:t>
            </w:r>
          </w:p>
        </w:tc>
      </w:tr>
      <w:tr>
        <w:trPr>
          <w:trHeight w:val="34"/>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400" w:type="dxa"/>
            <w:vAlign w:val="bottom"/>
          </w:tcPr>
          <w:p>
            <w:pPr>
              <w:ind w:left="12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1,162,836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1,277,246</w:t>
            </w:r>
          </w:p>
        </w:tc>
      </w:tr>
      <w:tr>
        <w:trPr>
          <w:trHeight w:val="219"/>
        </w:trPr>
        <w:tc>
          <w:tcPr>
            <w:tcW w:w="7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liability, net of current portion</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58,242</w:t>
            </w:r>
          </w:p>
        </w:tc>
      </w:tr>
      <w:tr>
        <w:trPr>
          <w:trHeight w:val="213"/>
        </w:trPr>
        <w:tc>
          <w:tcPr>
            <w:tcW w:w="740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3,040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2,143</w:t>
            </w:r>
          </w:p>
        </w:tc>
      </w:tr>
      <w:tr>
        <w:trPr>
          <w:trHeight w:val="219"/>
        </w:trPr>
        <w:tc>
          <w:tcPr>
            <w:tcW w:w="7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15,085</w:t>
            </w:r>
          </w:p>
        </w:tc>
      </w:tr>
      <w:tr>
        <w:trPr>
          <w:trHeight w:val="206"/>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1,241,821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1,352,716</w:t>
            </w:r>
          </w:p>
        </w:tc>
      </w:tr>
      <w:tr>
        <w:trPr>
          <w:trHeight w:val="210"/>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1,674,994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0628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STOCKHOLDERS’ EQUITY:</w:t>
      </w:r>
    </w:p>
    <w:p>
      <w:pPr>
        <w:spacing w:after="0" w:line="32" w:lineRule="exact"/>
        <w:rPr>
          <w:sz w:val="20"/>
          <w:szCs w:val="20"/>
          <w:color w:val="auto"/>
        </w:rPr>
      </w:pPr>
    </w:p>
    <w:p>
      <w:pPr>
        <w:ind w:left="140" w:right="840"/>
        <w:spacing w:after="0"/>
        <w:rPr>
          <w:sz w:val="20"/>
          <w:szCs w:val="20"/>
          <w:color w:val="auto"/>
        </w:rPr>
      </w:pPr>
      <w:r>
        <w:rPr>
          <w:rFonts w:ascii="Arial" w:cs="Arial" w:eastAsia="Arial" w:hAnsi="Arial"/>
          <w:sz w:val="16"/>
          <w:szCs w:val="16"/>
          <w:color w:val="auto"/>
        </w:rPr>
        <w:t>Preferred stock; $0.0001 par value; 12,500,000 shares authorized, no shares outstanding as of September 30,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6285"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342900"/>
                    </a:xfrm>
                    <a:prstGeom prst="rect">
                      <a:avLst/>
                    </a:prstGeom>
                    <a:noFill/>
                  </pic:spPr>
                </pic:pic>
              </a:graphicData>
            </a:graphic>
          </wp:anchor>
        </w:drawing>
      </w:r>
    </w:p>
    <w:p>
      <w:pPr>
        <w:jc w:val="both"/>
        <w:ind w:left="140" w:right="660"/>
        <w:spacing w:after="0" w:line="230" w:lineRule="auto"/>
        <w:rPr>
          <w:sz w:val="20"/>
          <w:szCs w:val="20"/>
          <w:color w:val="auto"/>
        </w:rPr>
      </w:pPr>
      <w:r>
        <w:rPr>
          <w:rFonts w:ascii="Arial" w:cs="Arial" w:eastAsia="Arial" w:hAnsi="Arial"/>
          <w:sz w:val="16"/>
          <w:szCs w:val="16"/>
          <w:color w:val="auto"/>
        </w:rPr>
        <w:t>Common stock; $0.0001 par value: 250,000,000 shares authorized, 187,141,475 shares issued and 186,757,753 shares outstanding as of September 30, 2020; 176,975,628 shares issued and 176,591,907 shares outstanding as of December 31, 2019</w:t>
      </w:r>
    </w:p>
    <w:p>
      <w:pPr>
        <w:spacing w:after="0" w:line="11" w:lineRule="exact"/>
        <w:rPr>
          <w:sz w:val="20"/>
          <w:szCs w:val="20"/>
          <w:color w:val="auto"/>
        </w:rPr>
      </w:pPr>
    </w:p>
    <w:p>
      <w:pPr>
        <w:ind w:left="140" w:right="1200"/>
        <w:spacing w:after="0"/>
        <w:rPr>
          <w:sz w:val="20"/>
          <w:szCs w:val="20"/>
          <w:color w:val="auto"/>
        </w:rPr>
      </w:pPr>
      <w:r>
        <w:rPr>
          <w:rFonts w:ascii="Arial" w:cs="Arial" w:eastAsia="Arial" w:hAnsi="Arial"/>
          <w:sz w:val="16"/>
          <w:szCs w:val="16"/>
          <w:color w:val="auto"/>
        </w:rPr>
        <w:t>Treasury stock; 383,722 shares outstanding, at cost, as of September 30, 2020 and December 31, 2019, respectively</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280"/>
        <w:spacing w:after="0"/>
        <w:tabs>
          <w:tab w:leader="none" w:pos="2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237" w:lineRule="exact"/>
        <w:rPr>
          <w:sz w:val="20"/>
          <w:szCs w:val="20"/>
          <w:color w:val="auto"/>
        </w:rPr>
      </w:pPr>
    </w:p>
    <w:p>
      <w:pPr>
        <w:ind w:left="280"/>
        <w:spacing w:after="0"/>
        <w:tabs>
          <w:tab w:leader="none" w:pos="2220" w:val="left"/>
        </w:tabs>
        <w:rPr>
          <w:sz w:val="20"/>
          <w:szCs w:val="20"/>
          <w:color w:val="auto"/>
        </w:rPr>
      </w:pPr>
      <w:r>
        <w:rPr>
          <w:rFonts w:ascii="Arial" w:cs="Arial" w:eastAsia="Arial" w:hAnsi="Arial"/>
          <w:sz w:val="16"/>
          <w:szCs w:val="16"/>
          <w:color w:val="auto"/>
        </w:rPr>
        <w:t>19</w:t>
      </w:r>
      <w:r>
        <w:rPr>
          <w:sz w:val="20"/>
          <w:szCs w:val="20"/>
          <w:color w:val="auto"/>
        </w:rPr>
        <w:tab/>
      </w:r>
      <w:r>
        <w:rPr>
          <w:rFonts w:ascii="Arial" w:cs="Arial" w:eastAsia="Arial" w:hAnsi="Arial"/>
          <w:sz w:val="16"/>
          <w:szCs w:val="16"/>
          <w:color w:val="auto"/>
        </w:rPr>
        <w:t>18</w:t>
      </w:r>
    </w:p>
    <w:p>
      <w:pPr>
        <w:spacing w:after="0" w:line="113" w:lineRule="exact"/>
        <w:rPr>
          <w:sz w:val="20"/>
          <w:szCs w:val="20"/>
          <w:color w:val="auto"/>
        </w:rPr>
      </w:pPr>
    </w:p>
    <w:p>
      <w:pPr>
        <w:spacing w:after="0"/>
        <w:tabs>
          <w:tab w:leader="none" w:pos="1940" w:val="left"/>
        </w:tabs>
        <w:rPr>
          <w:sz w:val="20"/>
          <w:szCs w:val="20"/>
          <w:color w:val="auto"/>
        </w:rPr>
      </w:pPr>
      <w:r>
        <w:rPr>
          <w:rFonts w:ascii="Arial" w:cs="Arial" w:eastAsia="Arial" w:hAnsi="Arial"/>
          <w:sz w:val="15"/>
          <w:szCs w:val="15"/>
          <w:color w:val="auto"/>
        </w:rPr>
        <w:t>(2,403)</w:t>
      </w:r>
      <w:r>
        <w:rPr>
          <w:sz w:val="20"/>
          <w:szCs w:val="20"/>
          <w:color w:val="auto"/>
        </w:rPr>
        <w:tab/>
      </w:r>
      <w:r>
        <w:rPr>
          <w:rFonts w:ascii="Arial" w:cs="Arial" w:eastAsia="Arial" w:hAnsi="Arial"/>
          <w:sz w:val="15"/>
          <w:szCs w:val="15"/>
          <w:color w:val="auto"/>
        </w:rPr>
        <w:t>(2,403)</w:t>
      </w:r>
    </w:p>
    <w:p>
      <w:pPr>
        <w:spacing w:after="0" w:line="134" w:lineRule="exact"/>
        <w:rPr>
          <w:sz w:val="20"/>
          <w:szCs w:val="20"/>
          <w:color w:val="auto"/>
        </w:rPr>
      </w:pPr>
    </w:p>
    <w:p>
      <w:pPr>
        <w:sectPr>
          <w:pgSz w:w="11900" w:h="16838" w:orient="portrait"/>
          <w:cols w:equalWidth="0" w:num="2">
            <w:col w:w="8020" w:space="720"/>
            <w:col w:w="2460"/>
          </w:cols>
          <w:pgMar w:left="320" w:top="122" w:right="37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7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Paid-in capital</w:t>
            </w: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1,128,979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1,008,362</w:t>
            </w:r>
          </w:p>
        </w:tc>
      </w:tr>
      <w:tr>
        <w:trPr>
          <w:trHeight w:val="213"/>
        </w:trPr>
        <w:tc>
          <w:tcPr>
            <w:tcW w:w="740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6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(117,870)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(91,955)</w:t>
            </w:r>
          </w:p>
        </w:tc>
      </w:tr>
      <w:tr>
        <w:trPr>
          <w:trHeight w:val="219"/>
        </w:trPr>
        <w:tc>
          <w:tcPr>
            <w:tcW w:w="7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6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(7,195)</w:t>
            </w:r>
          </w:p>
        </w:tc>
      </w:tr>
      <w:tr>
        <w:trPr>
          <w:trHeight w:val="207"/>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stockholders’ equity</w:t>
            </w:r>
          </w:p>
        </w:tc>
        <w:tc>
          <w:tcPr>
            <w:tcW w:w="6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993,496</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906,827</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2,668,490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2,589,547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781,609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615,880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2,227,897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1,589,638</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607,456</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478,107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1,729,395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1,252,281</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174,153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498,502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337,357</w:t>
            </w:r>
          </w:p>
        </w:tc>
        <w:tc>
          <w:tcPr>
            <w:tcW w:w="0" w:type="dxa"/>
            <w:vAlign w:val="bottom"/>
          </w:tcPr>
          <w:p>
            <w:pPr>
              <w:spacing w:after="0"/>
              <w:rPr>
                <w:sz w:val="1"/>
                <w:szCs w:val="1"/>
                <w:color w:val="auto"/>
              </w:rPr>
            </w:pPr>
          </w:p>
        </w:tc>
      </w:tr>
      <w:tr>
        <w:trPr>
          <w:trHeight w:val="256"/>
        </w:trPr>
        <w:tc>
          <w:tcPr>
            <w:tcW w:w="5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1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123,000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133,475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377,198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315,815</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54,892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36,142</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139,597</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149,498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432,090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351,957</w:t>
            </w: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34,556</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66,412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(14,600)</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(24,583)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(84,102)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(44,117)</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in earnings of joint ventures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(6,679)</w:t>
            </w: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(32,137)</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(90,060)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(48,778)</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(63,378)</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(3,269)</w:t>
            </w:r>
          </w:p>
        </w:tc>
        <w:tc>
          <w:tcPr>
            <w:tcW w:w="0" w:type="dxa"/>
            <w:vAlign w:val="bottom"/>
          </w:tcPr>
          <w:p>
            <w:pPr>
              <w:spacing w:after="0"/>
              <w:rPr>
                <w:sz w:val="1"/>
                <w:szCs w:val="1"/>
                <w:color w:val="auto"/>
              </w:rPr>
            </w:pPr>
          </w:p>
        </w:tc>
      </w:tr>
      <w:tr>
        <w:trPr>
          <w:trHeight w:val="239"/>
        </w:trPr>
        <w:tc>
          <w:tcPr>
            <w:tcW w:w="5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(60,109)</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Change in unrealized gains (losses) on cash flow hedges, net of income tax expense</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(8,727)</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of $0, $32, $0 and $259, respectively</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4,022</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(8,727)</w:t>
            </w:r>
          </w:p>
        </w:tc>
        <w:tc>
          <w:tcPr>
            <w:tcW w:w="0" w:type="dxa"/>
            <w:vAlign w:val="bottom"/>
          </w:tcPr>
          <w:p>
            <w:pPr>
              <w:spacing w:after="0"/>
              <w:rPr>
                <w:sz w:val="1"/>
                <w:szCs w:val="1"/>
                <w:color w:val="auto"/>
              </w:rPr>
            </w:pP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(33,949)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(68,836)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COMMON SHARE: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20"/>
              <w:spacing w:after="0"/>
              <w:rPr>
                <w:sz w:val="20"/>
                <w:szCs w:val="20"/>
                <w:color w:val="auto"/>
              </w:rPr>
            </w:pPr>
            <w:r>
              <w:rPr>
                <w:rFonts w:ascii="Arial" w:cs="Arial" w:eastAsia="Arial" w:hAnsi="Arial"/>
                <w:sz w:val="16"/>
                <w:szCs w:val="16"/>
                <w:color w:val="auto"/>
              </w:rPr>
              <w:t>Earnings (loss) per share, basic</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 (loss) per share, diluted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184,232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179,220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149,448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diluted</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184,822</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162,894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179,220</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149,448</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4700"/>
        <w:spacing w:after="0" w:line="260" w:lineRule="auto"/>
        <w:rPr>
          <w:sz w:val="20"/>
          <w:szCs w:val="20"/>
          <w:color w:val="auto"/>
        </w:rPr>
      </w:pPr>
      <w:r>
        <w:rPr>
          <w:rFonts w:ascii="Arial" w:cs="Arial" w:eastAsia="Arial" w:hAnsi="Arial"/>
          <w:sz w:val="18"/>
          <w:szCs w:val="18"/>
          <w:b w:val="1"/>
          <w:bCs w:val="1"/>
          <w:color w:val="auto"/>
        </w:rPr>
        <w:t>UNAUDITED CONDENSED CONSOLIDATED STATEMENTS OF CASH FLOWS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16"/>
        </w:trPr>
        <w:tc>
          <w:tcPr>
            <w:tcW w:w="8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199"/>
        </w:trPr>
        <w:tc>
          <w:tcPr>
            <w:tcW w:w="810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(60,109)</w:t>
            </w:r>
          </w:p>
        </w:tc>
      </w:tr>
      <w:tr>
        <w:trPr>
          <w:trHeight w:val="213"/>
        </w:trPr>
        <w:tc>
          <w:tcPr>
            <w:tcW w:w="8100" w:type="dxa"/>
            <w:vAlign w:val="bottom"/>
          </w:tcPr>
          <w:p>
            <w:pPr>
              <w:ind w:left="120"/>
              <w:spacing w:after="0"/>
              <w:rPr>
                <w:sz w:val="20"/>
                <w:szCs w:val="20"/>
                <w:color w:val="auto"/>
              </w:rPr>
            </w:pPr>
            <w:r>
              <w:rPr>
                <w:rFonts w:ascii="Arial" w:cs="Arial" w:eastAsia="Arial" w:hAnsi="Arial"/>
                <w:sz w:val="16"/>
                <w:szCs w:val="16"/>
                <w:color w:val="auto"/>
              </w:rPr>
              <w:t>Adjustments to reconcile net loss to net cash provided by operations: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38,997</w:t>
            </w: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Non-cash operating lease costs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15,246</w:t>
            </w: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 net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(5,252)</w:t>
            </w: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5,469</w:t>
            </w: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w:t>
            </w: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Paid-in-kind interest capitalized as principal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interest rate swaps upon discontinuing hedge accounting</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Equity in earnings of joint ventures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(2,018)</w:t>
            </w: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incentive compensation expense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3,898</w:t>
            </w: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Other adjustments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1,046</w:t>
            </w: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10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71,029</w:t>
            </w:r>
          </w:p>
        </w:tc>
      </w:tr>
      <w:tr>
        <w:trPr>
          <w:trHeight w:val="219"/>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(6,212)</w:t>
            </w:r>
          </w:p>
        </w:tc>
      </w:tr>
      <w:tr>
        <w:trPr>
          <w:trHeight w:val="213"/>
        </w:trPr>
        <w:tc>
          <w:tcPr>
            <w:tcW w:w="810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1,447</w:t>
            </w:r>
          </w:p>
        </w:tc>
      </w:tr>
      <w:tr>
        <w:trPr>
          <w:trHeight w:val="219"/>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(36,157)</w:t>
            </w:r>
          </w:p>
        </w:tc>
      </w:tr>
      <w:tr>
        <w:trPr>
          <w:trHeight w:val="213"/>
        </w:trPr>
        <w:tc>
          <w:tcPr>
            <w:tcW w:w="8100" w:type="dxa"/>
            <w:vAlign w:val="bottom"/>
          </w:tcPr>
          <w:p>
            <w:pPr>
              <w:ind w:left="340"/>
              <w:spacing w:after="0"/>
              <w:rPr>
                <w:sz w:val="20"/>
                <w:szCs w:val="20"/>
                <w:color w:val="auto"/>
              </w:rPr>
            </w:pPr>
            <w:r>
              <w:rPr>
                <w:rFonts w:ascii="Arial" w:cs="Arial" w:eastAsia="Arial" w:hAnsi="Arial"/>
                <w:sz w:val="16"/>
                <w:szCs w:val="16"/>
                <w:color w:val="auto"/>
              </w:rPr>
              <w:t>Accrued compensation and employee benefits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5,312</w:t>
            </w:r>
          </w:p>
        </w:tc>
      </w:tr>
      <w:tr>
        <w:trPr>
          <w:trHeight w:val="219"/>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w:t>
            </w:r>
          </w:p>
        </w:tc>
      </w:tr>
      <w:tr>
        <w:trPr>
          <w:trHeight w:val="213"/>
        </w:trPr>
        <w:tc>
          <w:tcPr>
            <w:tcW w:w="810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(11,922)</w:t>
            </w:r>
          </w:p>
        </w:tc>
      </w:tr>
      <w:tr>
        <w:trPr>
          <w:trHeight w:val="219"/>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(3,415)</w:t>
            </w:r>
          </w:p>
        </w:tc>
      </w:tr>
      <w:tr>
        <w:trPr>
          <w:trHeight w:val="248"/>
        </w:trPr>
        <w:tc>
          <w:tcPr>
            <w:tcW w:w="81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101,728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16,570</w:t>
            </w:r>
          </w:p>
        </w:tc>
      </w:tr>
      <w:tr>
        <w:trPr>
          <w:trHeight w:val="213"/>
        </w:trPr>
        <w:tc>
          <w:tcPr>
            <w:tcW w:w="81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219"/>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of property and equipment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(13,150)</w:t>
            </w:r>
          </w:p>
        </w:tc>
      </w:tr>
      <w:tr>
        <w:trPr>
          <w:trHeight w:val="213"/>
        </w:trPr>
        <w:tc>
          <w:tcPr>
            <w:tcW w:w="8100" w:type="dxa"/>
            <w:vAlign w:val="bottom"/>
          </w:tcPr>
          <w:p>
            <w:pPr>
              <w:ind w:left="120"/>
              <w:spacing w:after="0"/>
              <w:rPr>
                <w:sz w:val="20"/>
                <w:szCs w:val="20"/>
                <w:color w:val="auto"/>
              </w:rPr>
            </w:pPr>
            <w:r>
              <w:rPr>
                <w:rFonts w:ascii="Arial" w:cs="Arial" w:eastAsia="Arial" w:hAnsi="Arial"/>
                <w:sz w:val="16"/>
                <w:szCs w:val="16"/>
                <w:color w:val="auto"/>
              </w:rPr>
              <w:t>Other investing cash flows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636</w:t>
            </w:r>
          </w:p>
        </w:tc>
      </w:tr>
      <w:tr>
        <w:trPr>
          <w:trHeight w:val="219"/>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Business acquisitions, net of cash acquired</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(700,170)</w:t>
            </w:r>
          </w:p>
        </w:tc>
      </w:tr>
      <w:tr>
        <w:trPr>
          <w:trHeight w:val="248"/>
        </w:trPr>
        <w:tc>
          <w:tcPr>
            <w:tcW w:w="81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(12,330)</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(712,684)</w:t>
            </w:r>
          </w:p>
        </w:tc>
      </w:tr>
      <w:tr>
        <w:trPr>
          <w:trHeight w:val="213"/>
        </w:trPr>
        <w:tc>
          <w:tcPr>
            <w:tcW w:w="81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219"/>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Redemptions to related parties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13"/>
        </w:trPr>
        <w:tc>
          <w:tcPr>
            <w:tcW w:w="8100" w:type="dxa"/>
            <w:vAlign w:val="bottom"/>
          </w:tcPr>
          <w:p>
            <w:pPr>
              <w:ind w:left="120"/>
              <w:spacing w:after="0"/>
              <w:rPr>
                <w:sz w:val="20"/>
                <w:szCs w:val="20"/>
                <w:color w:val="auto"/>
              </w:rPr>
            </w:pPr>
            <w:r>
              <w:rPr>
                <w:rFonts w:ascii="Arial" w:cs="Arial" w:eastAsia="Arial" w:hAnsi="Arial"/>
                <w:sz w:val="16"/>
                <w:szCs w:val="16"/>
                <w:color w:val="auto"/>
              </w:rPr>
              <w:t>Sale of management notes receivable</w:t>
            </w: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1,310</w:t>
            </w:r>
          </w:p>
        </w:tc>
      </w:tr>
      <w:tr>
        <w:trPr>
          <w:trHeight w:val="219"/>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w:t>
            </w:r>
          </w:p>
        </w:tc>
      </w:tr>
      <w:tr>
        <w:trPr>
          <w:trHeight w:val="213"/>
        </w:trPr>
        <w:tc>
          <w:tcPr>
            <w:tcW w:w="8100" w:type="dxa"/>
            <w:vAlign w:val="bottom"/>
          </w:tcPr>
          <w:p>
            <w:pPr>
              <w:ind w:left="120"/>
              <w:spacing w:after="0"/>
              <w:rPr>
                <w:sz w:val="20"/>
                <w:szCs w:val="20"/>
                <w:color w:val="auto"/>
              </w:rPr>
            </w:pPr>
            <w:r>
              <w:rPr>
                <w:rFonts w:ascii="Arial" w:cs="Arial" w:eastAsia="Arial" w:hAnsi="Arial"/>
                <w:sz w:val="16"/>
                <w:szCs w:val="16"/>
                <w:color w:val="auto"/>
              </w:rPr>
              <w:t>Proceeds from debt</w:t>
            </w: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981,050</w:t>
            </w:r>
          </w:p>
        </w:tc>
      </w:tr>
      <w:tr>
        <w:trPr>
          <w:trHeight w:val="219"/>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debt principal</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w:t>
            </w:r>
          </w:p>
        </w:tc>
      </w:tr>
      <w:tr>
        <w:trPr>
          <w:trHeight w:val="213"/>
        </w:trPr>
        <w:tc>
          <w:tcPr>
            <w:tcW w:w="8100" w:type="dxa"/>
            <w:vAlign w:val="bottom"/>
          </w:tcPr>
          <w:p>
            <w:pPr>
              <w:ind w:left="120"/>
              <w:spacing w:after="0"/>
              <w:rPr>
                <w:sz w:val="20"/>
                <w:szCs w:val="20"/>
                <w:color w:val="auto"/>
              </w:rPr>
            </w:pPr>
            <w:r>
              <w:rPr>
                <w:rFonts w:ascii="Arial" w:cs="Arial" w:eastAsia="Arial" w:hAnsi="Arial"/>
                <w:sz w:val="16"/>
                <w:szCs w:val="16"/>
                <w:color w:val="auto"/>
              </w:rPr>
              <w:t>Retirement of debt obligations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(226,738)</w:t>
            </w:r>
          </w:p>
        </w:tc>
      </w:tr>
      <w:tr>
        <w:trPr>
          <w:trHeight w:val="219"/>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financing costs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(36,538)</w:t>
            </w:r>
          </w:p>
        </w:tc>
      </w:tr>
      <w:tr>
        <w:trPr>
          <w:trHeight w:val="213"/>
        </w:trPr>
        <w:tc>
          <w:tcPr>
            <w:tcW w:w="8100" w:type="dxa"/>
            <w:vAlign w:val="bottom"/>
          </w:tcPr>
          <w:p>
            <w:pPr>
              <w:ind w:left="120"/>
              <w:spacing w:after="0"/>
              <w:rPr>
                <w:sz w:val="20"/>
                <w:szCs w:val="20"/>
                <w:color w:val="auto"/>
              </w:rPr>
            </w:pPr>
            <w:r>
              <w:rPr>
                <w:rFonts w:ascii="Arial" w:cs="Arial" w:eastAsia="Arial" w:hAnsi="Arial"/>
                <w:sz w:val="16"/>
                <w:szCs w:val="16"/>
                <w:color w:val="auto"/>
              </w:rPr>
              <w:t>Net proceeds from issuance of common stock</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118,934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financing cash flows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1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712,512</w:t>
            </w: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16,398</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 beginning of the period</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36,391</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140,047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52,789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73,224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35,531</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income taxes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w:t>
            </w:r>
          </w:p>
        </w:tc>
      </w:tr>
      <w:tr>
        <w:trPr>
          <w:trHeight w:val="210"/>
        </w:trPr>
        <w:tc>
          <w:tcPr>
            <w:tcW w:w="8100" w:type="dxa"/>
            <w:vAlign w:val="bottom"/>
          </w:tcPr>
          <w:p>
            <w:pPr>
              <w:ind w:left="120"/>
              <w:spacing w:after="0"/>
              <w:rPr>
                <w:sz w:val="20"/>
                <w:szCs w:val="20"/>
                <w:color w:val="auto"/>
              </w:rPr>
            </w:pPr>
            <w:r>
              <w:rPr>
                <w:rFonts w:ascii="Arial" w:cs="Arial" w:eastAsia="Arial" w:hAnsi="Arial"/>
                <w:sz w:val="16"/>
                <w:szCs w:val="16"/>
                <w:color w:val="auto"/>
              </w:rPr>
              <w:t>Cash paid for operating leases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19,941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15,248</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114"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3520"/>
        <w:spacing w:after="0" w:line="260" w:lineRule="auto"/>
        <w:rPr>
          <w:sz w:val="20"/>
          <w:szCs w:val="20"/>
          <w:color w:val="auto"/>
        </w:rPr>
      </w:pPr>
      <w:r>
        <w:rPr>
          <w:rFonts w:ascii="Arial" w:cs="Arial" w:eastAsia="Arial" w:hAnsi="Arial"/>
          <w:sz w:val="18"/>
          <w:szCs w:val="18"/>
          <w:b w:val="1"/>
          <w:bCs w:val="1"/>
          <w:color w:val="auto"/>
        </w:rPr>
        <w:t>UNAUDITED CONDENSED CONSOLIDATED STATEMENTS OF STOCKHOLDERS’ EQUITY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Other</w:t>
            </w:r>
          </w:p>
        </w:tc>
        <w:tc>
          <w:tcPr>
            <w:tcW w:w="120" w:type="dxa"/>
            <w:vAlign w:val="bottom"/>
          </w:tcPr>
          <w:p>
            <w:pPr>
              <w:spacing w:after="0"/>
              <w:rPr>
                <w:sz w:val="16"/>
                <w:szCs w:val="16"/>
                <w:color w:val="auto"/>
              </w:rPr>
            </w:pPr>
          </w:p>
        </w:tc>
        <w:tc>
          <w:tcPr>
            <w:tcW w:w="11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Preferred</w:t>
            </w:r>
          </w:p>
        </w:tc>
        <w:tc>
          <w:tcPr>
            <w:tcW w:w="10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8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Management</w:t>
            </w: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7"/>
              </w:rPr>
              <w:t>(Loss)</w:t>
            </w:r>
          </w:p>
        </w:tc>
        <w:tc>
          <w:tcPr>
            <w:tcW w:w="120" w:type="dxa"/>
            <w:vAlign w:val="bottom"/>
          </w:tcPr>
          <w:p>
            <w:pPr>
              <w:spacing w:after="0"/>
              <w:rPr>
                <w:sz w:val="14"/>
                <w:szCs w:val="14"/>
                <w:color w:val="auto"/>
              </w:rPr>
            </w:pPr>
          </w:p>
        </w:tc>
        <w:tc>
          <w:tcPr>
            <w:tcW w:w="11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3"/>
        </w:trPr>
        <w:tc>
          <w:tcPr>
            <w:tcW w:w="1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9"/>
              </w:rPr>
              <w:t>Notes Receivable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Deficit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 - December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619,621</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(16,035)</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602,825</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31, 2018</w:t>
            </w:r>
          </w:p>
        </w:tc>
        <w:tc>
          <w:tcPr>
            <w:tcW w:w="1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Interest on</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management notes</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receivable</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Stockholders'</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redemption</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Stock-based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incentive</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(3,712)</w:t>
            </w: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Other</w:t>
            </w:r>
          </w:p>
        </w:tc>
        <w:tc>
          <w:tcPr>
            <w:tcW w:w="120" w:type="dxa"/>
            <w:vAlign w:val="bottom"/>
          </w:tcPr>
          <w:p>
            <w:pPr>
              <w:spacing w:after="0"/>
              <w:rPr>
                <w:sz w:val="14"/>
                <w:szCs w:val="14"/>
                <w:color w:val="auto"/>
              </w:rPr>
            </w:pP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w w:val="97"/>
              </w:rPr>
              <w:t>comprehensive loss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 - March 31,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618,205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(19,747)</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597,171</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Interest on</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management notes</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receivable</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Stockholders'</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redemption</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Stock-based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incentive</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(13,603)</w:t>
            </w: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Other</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comprehensive</w:t>
            </w:r>
          </w:p>
        </w:tc>
        <w:tc>
          <w:tcPr>
            <w:tcW w:w="120" w:type="dxa"/>
            <w:vAlign w:val="bottom"/>
          </w:tcPr>
          <w:p>
            <w:pPr>
              <w:spacing w:after="0"/>
              <w:rPr>
                <w:sz w:val="14"/>
                <w:szCs w:val="14"/>
                <w:color w:val="auto"/>
              </w:rPr>
            </w:pP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 - June 30,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618,403</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(33,350)</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584,146</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Interest on</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management notes</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receivable</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Repayment of</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management notes</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receivable</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Purchase of</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387,040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387,044</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BioScrip, Inc.</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Stock-based</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incentive</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Exercise of stock</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options, vesting of</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w w:val="99"/>
              </w:rPr>
              <w:t>restricted stock and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related tax</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vMerge w:val="restart"/>
          </w:tcPr>
          <w:p>
            <w:pPr>
              <w:ind w:left="280"/>
              <w:spacing w:after="0"/>
              <w:rPr>
                <w:sz w:val="20"/>
                <w:szCs w:val="20"/>
                <w:color w:val="auto"/>
              </w:rPr>
            </w:pPr>
            <w:r>
              <w:rPr>
                <w:rFonts w:ascii="Arial" w:cs="Arial" w:eastAsia="Arial" w:hAnsi="Arial"/>
                <w:sz w:val="16"/>
                <w:szCs w:val="16"/>
                <w:color w:val="auto"/>
                <w:w w:val="94"/>
              </w:rPr>
              <w:t>(2,399)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withholdings</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(42,794)</w:t>
            </w: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Other</w:t>
            </w:r>
          </w:p>
        </w:tc>
        <w:tc>
          <w:tcPr>
            <w:tcW w:w="120" w:type="dxa"/>
            <w:vAlign w:val="bottom"/>
          </w:tcPr>
          <w:p>
            <w:pPr>
              <w:spacing w:after="0"/>
              <w:rPr>
                <w:sz w:val="14"/>
                <w:szCs w:val="14"/>
                <w:color w:val="auto"/>
              </w:rPr>
            </w:pP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(8,249)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(8,249)</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w w:val="97"/>
              </w:rPr>
              <w:t>comprehensive loss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8"/>
              </w:rPr>
              <w:t>Balance - September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94"/>
              </w:rPr>
              <w:t>(2,399)</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1,008,090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(76,144)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(7,883)</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921,682</w:t>
            </w:r>
          </w:p>
        </w:tc>
        <w:tc>
          <w:tcPr>
            <w:tcW w:w="0" w:type="dxa"/>
            <w:vAlign w:val="bottom"/>
          </w:tcPr>
          <w:p>
            <w:pPr>
              <w:spacing w:after="0"/>
              <w:rPr>
                <w:sz w:val="1"/>
                <w:szCs w:val="1"/>
                <w:color w:val="auto"/>
              </w:rPr>
            </w:pPr>
          </w:p>
        </w:tc>
      </w:tr>
      <w:tr>
        <w:trPr>
          <w:trHeight w:val="205"/>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30, 2019</w:t>
            </w:r>
          </w:p>
        </w:tc>
        <w:tc>
          <w:tcPr>
            <w:tcW w:w="12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15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Balance - December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94"/>
              </w:rPr>
              <w:t>(2,403)</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1,008,362</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(91,955)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906,827</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31, 2019</w:t>
            </w:r>
          </w:p>
        </w:tc>
        <w:tc>
          <w:tcPr>
            <w:tcW w:w="1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Exercise of stock</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options, vesting of</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w w:val="99"/>
              </w:rPr>
              <w:t>restricted stock and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related tax</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withholdings</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Stock-based</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incentive</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(19,910)</w:t>
            </w: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comprehensive loss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520" w:type="dxa"/>
            <w:vAlign w:val="bottom"/>
          </w:tcPr>
          <w:p>
            <w:pPr>
              <w:ind w:left="20"/>
              <w:spacing w:after="0" w:line="146" w:lineRule="exact"/>
              <w:rPr>
                <w:sz w:val="20"/>
                <w:szCs w:val="20"/>
                <w:color w:val="auto"/>
              </w:rPr>
            </w:pPr>
            <w:r>
              <w:rPr>
                <w:rFonts w:ascii="Arial" w:cs="Arial" w:eastAsia="Arial" w:hAnsi="Arial"/>
                <w:sz w:val="16"/>
                <w:szCs w:val="16"/>
                <w:color w:val="auto"/>
              </w:rPr>
              <w:t>Balance - March 31,</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ind w:left="280"/>
              <w:spacing w:after="0"/>
              <w:rPr>
                <w:sz w:val="20"/>
                <w:szCs w:val="20"/>
                <w:color w:val="auto"/>
              </w:rPr>
            </w:pPr>
            <w:r>
              <w:rPr>
                <w:rFonts w:ascii="Arial" w:cs="Arial" w:eastAsia="Arial" w:hAnsi="Arial"/>
                <w:sz w:val="16"/>
                <w:szCs w:val="16"/>
                <w:color w:val="auto"/>
                <w:w w:val="94"/>
              </w:rPr>
              <w:t>(2,403)</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1,008,570</w:t>
            </w:r>
          </w:p>
        </w:tc>
        <w:tc>
          <w:tcPr>
            <w:tcW w:w="12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(111,865)</w:t>
            </w:r>
          </w:p>
        </w:tc>
        <w:tc>
          <w:tcPr>
            <w:tcW w:w="12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(23,827)</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870,493</w:t>
            </w:r>
          </w:p>
        </w:tc>
        <w:tc>
          <w:tcPr>
            <w:tcW w:w="0" w:type="dxa"/>
            <w:vAlign w:val="bottom"/>
          </w:tcPr>
          <w:p>
            <w:pPr>
              <w:spacing w:after="0"/>
              <w:rPr>
                <w:sz w:val="1"/>
                <w:szCs w:val="1"/>
                <w:color w:val="auto"/>
              </w:rPr>
            </w:pPr>
          </w:p>
        </w:tc>
      </w:tr>
      <w:tr>
        <w:trPr>
          <w:trHeight w:val="209"/>
        </w:trPr>
        <w:tc>
          <w:tcPr>
            <w:tcW w:w="1520" w:type="dxa"/>
            <w:vAlign w:val="bottom"/>
          </w:tcPr>
          <w:p>
            <w:pPr>
              <w:ind w:left="20"/>
              <w:spacing w:after="0"/>
              <w:rPr>
                <w:sz w:val="20"/>
                <w:szCs w:val="20"/>
                <w:color w:val="auto"/>
              </w:rPr>
            </w:pPr>
            <w:r>
              <w:rPr>
                <w:rFonts w:ascii="Arial" w:cs="Arial" w:eastAsia="Arial" w:hAnsi="Arial"/>
                <w:sz w:val="16"/>
                <w:szCs w:val="16"/>
                <w:color w:val="auto"/>
              </w:rPr>
              <w:t>2020</w:t>
            </w: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Exercise of stock</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options, vesting of</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9"/>
              </w:rPr>
              <w:t>restricted stock and</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related tax</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Stock-based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incentive</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Other</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comprehensive</w:t>
            </w:r>
          </w:p>
        </w:tc>
        <w:tc>
          <w:tcPr>
            <w:tcW w:w="12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4,576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4,576</w:t>
            </w:r>
          </w:p>
        </w:tc>
        <w:tc>
          <w:tcPr>
            <w:tcW w:w="0" w:type="dxa"/>
            <w:vAlign w:val="bottom"/>
          </w:tcPr>
          <w:p>
            <w:pPr>
              <w:spacing w:after="0"/>
              <w:rPr>
                <w:sz w:val="1"/>
                <w:szCs w:val="1"/>
                <w:color w:val="auto"/>
              </w:rPr>
            </w:pPr>
          </w:p>
        </w:tc>
      </w:tr>
      <w:tr>
        <w:trPr>
          <w:trHeight w:val="206"/>
        </w:trPr>
        <w:tc>
          <w:tcPr>
            <w:tcW w:w="1520" w:type="dxa"/>
            <w:vAlign w:val="bottom"/>
          </w:tcPr>
          <w:p>
            <w:pPr>
              <w:ind w:left="12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952" w:orient="portrait"/>
          <w:cols w:equalWidth="0" w:num="1">
            <w:col w:w="11200"/>
          </w:cols>
          <w:pgMar w:left="320" w:top="121" w:right="37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20" w:type="dxa"/>
            <w:vAlign w:val="bottom"/>
            <w:tcBorders>
              <w:top w:val="single" w:sz="8" w:color="CCEEFF"/>
            </w:tcBorders>
            <w:shd w:val="clear" w:color="auto" w:fill="CCEEFF"/>
          </w:tcPr>
          <w:p>
            <w:pPr>
              <w:ind w:left="20"/>
              <w:spacing w:after="0" w:line="166" w:lineRule="exact"/>
              <w:rPr>
                <w:sz w:val="20"/>
                <w:szCs w:val="20"/>
                <w:color w:val="auto"/>
              </w:rPr>
            </w:pPr>
            <w:r>
              <w:rPr>
                <w:rFonts w:ascii="Arial" w:cs="Arial" w:eastAsia="Arial" w:hAnsi="Arial"/>
                <w:sz w:val="16"/>
                <w:szCs w:val="16"/>
                <w:color w:val="auto"/>
              </w:rPr>
              <w:t>Balance - June 30,</w:t>
            </w:r>
          </w:p>
        </w:tc>
        <w:tc>
          <w:tcPr>
            <w:tcW w:w="400" w:type="dxa"/>
            <w:vAlign w:val="bottom"/>
            <w:tcBorders>
              <w:top w:val="single" w:sz="8" w:color="auto"/>
            </w:tcBorders>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vMerge w:val="restart"/>
            <w:shd w:val="clear" w:color="auto" w:fill="CCEEFF"/>
          </w:tcPr>
          <w:p>
            <w:pPr>
              <w:spacing w:after="0"/>
              <w:rPr>
                <w:sz w:val="14"/>
                <w:szCs w:val="14"/>
                <w:color w:val="auto"/>
              </w:rPr>
            </w:pPr>
          </w:p>
        </w:tc>
        <w:tc>
          <w:tcPr>
            <w:tcW w:w="380" w:type="dxa"/>
            <w:vAlign w:val="bottom"/>
            <w:tcBorders>
              <w:top w:val="single" w:sz="8" w:color="auto"/>
            </w:tcBorders>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shd w:val="clear" w:color="auto" w:fill="CCEEFF"/>
          </w:tcPr>
          <w:p>
            <w:pPr>
              <w:ind w:left="140"/>
              <w:spacing w:after="0"/>
              <w:rPr>
                <w:sz w:val="20"/>
                <w:szCs w:val="20"/>
                <w:color w:val="auto"/>
              </w:rPr>
            </w:pPr>
            <w:r>
              <w:rPr>
                <w:rFonts w:ascii="Arial" w:cs="Arial" w:eastAsia="Arial" w:hAnsi="Arial"/>
                <w:sz w:val="16"/>
                <w:szCs w:val="16"/>
                <w:color w:val="auto"/>
                <w:w w:val="94"/>
              </w:rPr>
              <w:t>(2,403)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1,009,135</w:t>
            </w:r>
          </w:p>
        </w:tc>
        <w:tc>
          <w:tcPr>
            <w:tcW w:w="1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vMerge w:val="restart"/>
            <w:shd w:val="clear" w:color="auto" w:fill="CCEEFF"/>
          </w:tcPr>
          <w:p>
            <w:pPr>
              <w:spacing w:after="0"/>
              <w:rPr>
                <w:sz w:val="14"/>
                <w:szCs w:val="14"/>
                <w:color w:val="auto"/>
              </w:rPr>
            </w:pPr>
          </w:p>
        </w:tc>
        <w:tc>
          <w:tcPr>
            <w:tcW w:w="360" w:type="dxa"/>
            <w:vAlign w:val="bottom"/>
            <w:tcBorders>
              <w:top w:val="single" w:sz="8" w:color="auto"/>
            </w:tcBorders>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(119,533)</w:t>
            </w: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vMerge w:val="restart"/>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(19,251)</w:t>
            </w: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867,966</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40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Exercise of stock</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options, vesting of</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w w:val="99"/>
              </w:rPr>
              <w:t>restricted stock and</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related tax</w:t>
            </w:r>
          </w:p>
        </w:tc>
        <w:tc>
          <w:tcPr>
            <w:tcW w:w="40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withholdings</w:t>
            </w:r>
          </w:p>
        </w:tc>
        <w:tc>
          <w:tcPr>
            <w:tcW w:w="4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Stock-based</w:t>
            </w:r>
          </w:p>
        </w:tc>
        <w:tc>
          <w:tcPr>
            <w:tcW w:w="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incentive</w:t>
            </w:r>
          </w:p>
        </w:tc>
        <w:tc>
          <w:tcPr>
            <w:tcW w:w="4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w:t>
            </w:r>
          </w:p>
        </w:tc>
        <w:tc>
          <w:tcPr>
            <w:tcW w:w="4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Net proceeds from</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the issuance of</w:t>
            </w:r>
          </w:p>
        </w:tc>
        <w:tc>
          <w:tcPr>
            <w:tcW w:w="40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118,933</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118,934</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common stock</w:t>
            </w:r>
          </w:p>
        </w:tc>
        <w:tc>
          <w:tcPr>
            <w:tcW w:w="4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Other</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comprehensive</w:t>
            </w:r>
          </w:p>
        </w:tc>
        <w:tc>
          <w:tcPr>
            <w:tcW w:w="400" w:type="dxa"/>
            <w:vAlign w:val="bottom"/>
          </w:tcPr>
          <w:p>
            <w:pPr>
              <w:spacing w:after="0"/>
              <w:rPr>
                <w:sz w:val="14"/>
                <w:szCs w:val="14"/>
                <w:color w:val="auto"/>
              </w:rPr>
            </w:pPr>
          </w:p>
        </w:tc>
        <w:tc>
          <w:tcPr>
            <w:tcW w:w="54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vMerge w:val="restart"/>
          </w:tcPr>
          <w:p>
            <w:pPr>
              <w:ind w:left="4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4,022</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4,022</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w:t>
            </w: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8"/>
              </w:rPr>
              <w:t>Balance - September</w:t>
            </w: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w w:val="94"/>
              </w:rPr>
              <w:t>(2,403)</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1,128,979</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(117,870)</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(15,229)</w:t>
            </w:r>
          </w:p>
        </w:tc>
        <w:tc>
          <w:tcPr>
            <w:tcW w:w="12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993,496</w:t>
            </w:r>
          </w:p>
        </w:tc>
        <w:tc>
          <w:tcPr>
            <w:tcW w:w="0" w:type="dxa"/>
            <w:vAlign w:val="bottom"/>
          </w:tcPr>
          <w:p>
            <w:pPr>
              <w:spacing w:after="0"/>
              <w:rPr>
                <w:sz w:val="1"/>
                <w:szCs w:val="1"/>
                <w:color w:val="auto"/>
              </w:rPr>
            </w:pPr>
          </w:p>
        </w:tc>
      </w:tr>
      <w:tr>
        <w:trPr>
          <w:trHeight w:val="205"/>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30, 2020</w:t>
            </w:r>
          </w:p>
        </w:tc>
        <w:tc>
          <w:tcPr>
            <w:tcW w:w="40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60" w:right="37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PRESENTATION OF FINANCIAL STATEMENTS</w:t>
      </w:r>
    </w:p>
    <w:p>
      <w:pPr>
        <w:spacing w:after="0" w:line="185" w:lineRule="exact"/>
        <w:rPr>
          <w:sz w:val="20"/>
          <w:szCs w:val="20"/>
          <w:color w:val="auto"/>
        </w:rPr>
      </w:pPr>
    </w:p>
    <w:p>
      <w:pPr>
        <w:ind w:firstLine="324"/>
        <w:spacing w:after="0" w:line="289" w:lineRule="auto"/>
        <w:rPr>
          <w:sz w:val="20"/>
          <w:szCs w:val="20"/>
          <w:color w:val="auto"/>
        </w:rPr>
      </w:pPr>
      <w:r>
        <w:rPr>
          <w:rFonts w:ascii="Arial" w:cs="Arial" w:eastAsia="Arial" w:hAnsi="Arial"/>
          <w:sz w:val="17"/>
          <w:szCs w:val="17"/>
          <w:b w:val="1"/>
          <w:bCs w:val="1"/>
          <w:color w:val="auto"/>
        </w:rPr>
        <w:t xml:space="preserve">Corporate Organization and Business </w:t>
      </w:r>
      <w:r>
        <w:rPr>
          <w:rFonts w:ascii="Arial" w:cs="Arial" w:eastAsia="Arial" w:hAnsi="Arial"/>
          <w:sz w:val="17"/>
          <w:szCs w:val="17"/>
          <w:color w:val="auto"/>
        </w:rPr>
        <w:t>— HC Group Holdings II, Inc. (“HC II”) was incorporated under the laws of the State of Delaware on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7, 2015, with its sole shareholder being HC Group Holdings I, LLC. (“HC I”). On April 7, 2015, HC I and HC II collectively acquired Walgreens Infusion Services, Inc. and its subsidiaries from Walgreen Co., and the business was rebranded as Option Care (“Option Care”).</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w:t>
      </w:r>
    </w:p>
    <w:p>
      <w:pPr>
        <w:spacing w:after="0" w:line="16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Under the terms of the Merger Agreement, shares of HC II common stock issued and outstanding immediately prior to the Merger Date were converted into 135,565,392 shares of BioScrip common stock, par value $0.0001 (the “BioScrip common stock”). BioScrip also issued an additional 7,048,357 shares to HC I in respect of certain outstanding unvested contingent restricted stock units of BioScrip, which are held in escrow to prevent dilution related to potential additional vesting on certain share-based instruments. See Note 15,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for additional discussion of these shares held in escrow. In conjunction with the Merger, holders of BioScrip preferred shares and certain warrants received 864,603 additional shares of BioScrip common stock and preferred shares were repurchased for $125.8 million of cash. In addition, all legacy BioScrip debt was settled for $575.0 million. As a result of the Merger, BioScrip’s stockholders held approximately 19.3% of the combined company, and HC I held approximately 80.7% of the combined company. Following the close of the transaction, BioScrip was rebranded as Option Care Health, Inc. (“Option Care Health”, or the “Company”). The combined company’s stock is listed on the Nasdaq Global Select Market as of September 30, 2020. See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for further discussion of the Merger.</w:t>
      </w:r>
    </w:p>
    <w:p>
      <w:pPr>
        <w:spacing w:after="0" w:line="15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102 full service pharmacies.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4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unaudited condensed consolidated financial statements have been prepared in conformity with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2019 audited consolidated financial statements, including the notes thereto, as presented in the Annual Report on Form 10-K filed with the Securities and Exchange Commission on March 5, 2020.</w:t>
      </w:r>
    </w:p>
    <w:p>
      <w:pPr>
        <w:spacing w:after="0" w:line="162"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Company’s unaudited condensed consolidated financial statements include the accounts of Option Care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Inc. and its subsidiaries. The BioScrip results have been included in the consolidated financial results since the Merger Date. All intercompany transactions and balances are eliminated in consolidation.</w:t>
      </w:r>
    </w:p>
    <w:p>
      <w:pPr>
        <w:spacing w:after="0" w:line="139" w:lineRule="exact"/>
        <w:rPr>
          <w:sz w:val="20"/>
          <w:szCs w:val="20"/>
          <w:color w:val="auto"/>
        </w:rPr>
      </w:pPr>
    </w:p>
    <w:p>
      <w:pPr>
        <w:ind w:right="560" w:firstLine="324"/>
        <w:spacing w:after="0" w:line="263" w:lineRule="auto"/>
        <w:rPr>
          <w:sz w:val="20"/>
          <w:szCs w:val="20"/>
          <w:color w:val="auto"/>
        </w:rPr>
      </w:pPr>
      <w:r>
        <w:rPr>
          <w:rFonts w:ascii="Arial" w:cs="Arial" w:eastAsia="Arial" w:hAnsi="Arial"/>
          <w:sz w:val="18"/>
          <w:szCs w:val="18"/>
          <w:color w:val="auto"/>
        </w:rPr>
        <w:t>The Company has investments in companies that are 50% owned and are accounted for as equity-method investments. The Company’s share of earnings from equity-method investments is included in the line entitled “Equity in earnings of joint ventures” in the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ind w:right="500" w:firstLine="324"/>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April 2020, the Company received $11.7 million in Coronavirus Aid, Relief, and Economic Security Act (“CARES Act”) grant funds from the federal government, which was reflected in the second quarter as a cash inflow from financing activities within other financing cash flows in the unaudited condensed consolidated statements of cash flows. During the third quarter, the Company returned the funds as unused to the federal government, which was reflected as a cash outflow from financing activities within other financing cash flows in the unaudited condensed consolidated statements of cash flows.</w:t>
      </w:r>
    </w:p>
    <w:p>
      <w:pPr>
        <w:spacing w:after="0" w:line="11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color w:val="auto"/>
        </w:rPr>
        <w:t xml:space="preserve">Equity Method Investments </w:t>
      </w:r>
      <w:r>
        <w:rPr>
          <w:rFonts w:ascii="Arial" w:cs="Arial" w:eastAsia="Arial" w:hAnsi="Arial"/>
          <w:sz w:val="17"/>
          <w:szCs w:val="17"/>
          <w:color w:val="auto"/>
        </w:rPr>
        <w:t>— The Company’s investments in certain unconsolidated entities are accounted for under the equity method.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balance of these investments is included in other noncurrent assets in the accompanying condensed consolidated balance sheets. As of September 30, 2020 and December 31, 2019, the balance of the investments were $16.6 million and $17.0 million, respectively. The investments are increased to reflect the Company’s capital contributions and equity in earning of the investees. The investments are decreased to reflect the Company’s equity in losses of the investees and for distributions received that are not in excess of the carrying amount of the investments. The Company’s proportionate share of earnings or losses of the investees are recorded in equity in earnings of joint ventures in the accompanying unaudited condensed consolidated statements of comprehensive income (loss). The Company’s proportionate share of earnings was $0.8 million and $2.4 million for the three and nine months ended September 30, 2020. The Company’s proportionate share of earnings was $0.8 million and $2.0 million for the three and nine months ended September 30, 2019. Distributions from the investees are treated as cash inflows from operating activities within other adjustments in the unaudited condensed consolidated statements of cash flows. During the three and nine months ended September 30, 2020, the Company received distributions from the investees of $2.3 million and $2.8 million, respectively. During the three and nine months ended September 30, 2019, the Company received distributions from the investees of $0.5 million and $0.5 million, respectively. See Footnote 16, </w:t>
      </w:r>
      <w:r>
        <w:rPr>
          <w:rFonts w:ascii="Arial" w:cs="Arial" w:eastAsia="Arial" w:hAnsi="Arial"/>
          <w:sz w:val="17"/>
          <w:szCs w:val="17"/>
          <w:i w:val="1"/>
          <w:iCs w:val="1"/>
          <w:color w:val="auto"/>
        </w:rPr>
        <w:t>Related-Party Transactions</w:t>
      </w:r>
      <w:r>
        <w:rPr>
          <w:rFonts w:ascii="Arial" w:cs="Arial" w:eastAsia="Arial" w:hAnsi="Arial"/>
          <w:sz w:val="17"/>
          <w:szCs w:val="17"/>
          <w:color w:val="auto"/>
        </w:rPr>
        <w:t>, for discussion of related-party transactions with these investees.</w:t>
      </w:r>
    </w:p>
    <w:p>
      <w:pPr>
        <w:spacing w:after="0" w:line="14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Concentrations of Business Risk </w:t>
      </w:r>
      <w:r>
        <w:rPr>
          <w:rFonts w:ascii="Arial" w:cs="Arial" w:eastAsia="Arial" w:hAnsi="Arial"/>
          <w:sz w:val="18"/>
          <w:szCs w:val="18"/>
          <w:color w:val="auto"/>
        </w:rPr>
        <w:t>— The Company generates revenue from managed care contracts and other agreements with commercial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payers. Revenue related to the Company’s largest payer was approximately 16% and 15% for the three and nine months ended September 30, 2020. Revenue related to the Company’s largest payer was approximately 15% and 13% for the three and nine months ended September 30, 2019, respectively. In December 2019, the Company renewed and expanded its multi-year contract with this payer. The contract renewal was effective in February 2020 for a two-year term and auto-renews at the end of that term. There were no other managed care contracts that represent greater than 10% of revenue for the periods presented.</w:t>
      </w:r>
    </w:p>
    <w:p>
      <w:pPr>
        <w:spacing w:after="0" w:line="15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For the three and nine months ended September 30, 2020, approximately 16% and 14%, respectively, of the Company’s revenue was reimbursable through direct government healthcare programs, such as Medicare and Medicaid. For the three and nine months ended September 30, 2019, approximately 13% and 12%, respectively, of the Company’s revenue was reimbursable through direct government healthcare programs, such as Medicare and Medicaid. As of September 30, 2020 and December 31, 2019, respectively, approximately 13% and 12%,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3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Company does not require its patients nor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w:t>
      </w:r>
    </w:p>
    <w:p>
      <w:pPr>
        <w:spacing w:after="0" w:line="15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For the three and nine months ended September 30, 2020, approximately 71% and 72%, respectively, of the Company’s pharmaceutical and medical supply purchases were from three vendors. For the three and nine months ended September 30, 2019, approximately 69% and 72%, respectively, of the Company’s pharmaceutical and medical supply purchases were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 Although there is uncertainty regarding the COVID-19 pandemic, as of September 30, 2020 the Company has been able to maintain adequate levels of supplies and pharmaceuticals to support its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 w:firstLine="324"/>
        <w:spacing w:after="0" w:line="274" w:lineRule="auto"/>
        <w:rPr>
          <w:sz w:val="20"/>
          <w:szCs w:val="20"/>
          <w:color w:val="auto"/>
        </w:rPr>
      </w:pPr>
      <w:r>
        <w:rPr>
          <w:rFonts w:ascii="Arial" w:cs="Arial" w:eastAsia="Arial" w:hAnsi="Arial"/>
          <w:sz w:val="17"/>
          <w:szCs w:val="17"/>
          <w:b w:val="1"/>
          <w:bCs w:val="1"/>
          <w:color w:val="auto"/>
        </w:rPr>
        <w:t xml:space="preserve">Recently-Adopted Accounting Pronouncements </w:t>
      </w:r>
      <w:r>
        <w:rPr>
          <w:rFonts w:ascii="Arial" w:cs="Arial" w:eastAsia="Arial" w:hAnsi="Arial"/>
          <w:sz w:val="17"/>
          <w:szCs w:val="17"/>
          <w:color w:val="auto"/>
        </w:rPr>
        <w:t>— In June 2016, the FASB issued ASU 2016-13,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Financial Instruments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Credit Losses (Topic</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326): Measurement of Credit Losses on Financial Instruments</w:t>
      </w:r>
      <w:r>
        <w:rPr>
          <w:rFonts w:ascii="Arial" w:cs="Arial" w:eastAsia="Arial" w:hAnsi="Arial"/>
          <w:sz w:val="17"/>
          <w:szCs w:val="17"/>
          <w:color w:val="auto"/>
        </w:rPr>
        <w:t>, which requires measurement and recognition of expected credit losses for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held. The Amendments in ASU 2016-13 eliminate the probable threshold for initial recognition of a credit loss in current GAAP and reflect an entity’s current estimate of all expected credit losses. ASU 2016-13 is effective for interim and annual reporting periods beginning after December 15, 2019, and is to be applied using a modified retrospective transition method. The Company adopted the standard as of January 1, 2020. The adoption of this standard did not have a material impact on the Company’s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198"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b w:val="1"/>
          <w:bCs w:val="1"/>
          <w:color w:val="auto"/>
        </w:rPr>
        <w:t xml:space="preserve">Merger with BioScrip, Inc. </w:t>
      </w:r>
      <w:r>
        <w:rPr>
          <w:rFonts w:ascii="Arial" w:cs="Arial" w:eastAsia="Arial" w:hAnsi="Arial"/>
          <w:sz w:val="18"/>
          <w:szCs w:val="18"/>
          <w:color w:val="auto"/>
        </w:rPr>
        <w:t>— As discussed in Note 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Operations and Presentation of Financial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Care merged with</w:t>
      </w:r>
      <w:r>
        <w:rPr>
          <w:rFonts w:ascii="Arial" w:cs="Arial" w:eastAsia="Arial" w:hAnsi="Arial"/>
          <w:sz w:val="18"/>
          <w:szCs w:val="18"/>
          <w:b w:val="1"/>
          <w:bCs w:val="1"/>
          <w:color w:val="auto"/>
        </w:rPr>
        <w:t xml:space="preserve"> </w:t>
      </w:r>
      <w:r>
        <w:rPr>
          <w:rFonts w:ascii="Arial" w:cs="Arial" w:eastAsia="Arial" w:hAnsi="Arial"/>
          <w:sz w:val="18"/>
          <w:szCs w:val="18"/>
          <w:color w:val="auto"/>
        </w:rPr>
        <w:t>BioScrip on August 6, 2019. BioScrip was a national provider of infusion and home care management solutions. The Merger of Option Care and BioScrip into Option Care Health created an expanded national platform and the opportunity to drive economies of scale through procurement savings, facility rationalization and other operating cost savings.</w:t>
      </w:r>
    </w:p>
    <w:p>
      <w:pPr>
        <w:spacing w:after="0" w:line="18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fair value of purchase consideration transferred on the closing date includes the value of the number of shares of the combined company owned by BioScrip shareholders at closing of the Merger, the value of common shares issued to certain warrant and preferred shareholders in conjunction with the Merger, the fair value of stock-based instruments that were vested or earned as of the Merger, and cash payments made in conjunction with the Merger. The fair value per share of BioScrip’s common stock was $2.67 per share. This is the closing price of the BioScrip common stock on August 6,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acquisition method of accounting, the calculation of total consideration exchanged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Amount</w:t>
            </w:r>
          </w:p>
        </w:tc>
      </w:tr>
      <w:tr>
        <w:trPr>
          <w:trHeight w:val="188"/>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BioScrip common shares outstanding at time of the Merger (1)</w:t>
            </w:r>
          </w:p>
        </w:tc>
        <w:tc>
          <w:tcPr>
            <w:tcW w:w="46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129,181</w:t>
            </w:r>
          </w:p>
        </w:tc>
      </w:tr>
      <w:tr>
        <w:trPr>
          <w:trHeight w:val="186"/>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shares issued to warrant and preferred stockholders at time of the Merger (1)</w:t>
            </w:r>
          </w:p>
        </w:tc>
        <w:tc>
          <w:tcPr>
            <w:tcW w:w="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3,458</w:t>
            </w:r>
          </w:p>
        </w:tc>
      </w:tr>
      <w:tr>
        <w:trPr>
          <w:trHeight w:val="186"/>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shares of BioScrip common stock outstanding at time of the Merger (1)</w:t>
            </w:r>
          </w:p>
        </w:tc>
        <w:tc>
          <w:tcPr>
            <w:tcW w:w="46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132,639</w:t>
            </w:r>
          </w:p>
        </w:tc>
      </w:tr>
      <w:tr>
        <w:trPr>
          <w:trHeight w:val="186"/>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BioScrip share price as of August 6, 2019</w:t>
            </w: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r>
      <w:tr>
        <w:trPr>
          <w:trHeight w:val="186"/>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shares</w:t>
            </w: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354,146</w:t>
            </w:r>
          </w:p>
        </w:tc>
      </w:tr>
      <w:tr>
        <w:trPr>
          <w:trHeight w:val="186"/>
        </w:trPr>
        <w:tc>
          <w:tcPr>
            <w:tcW w:w="9060" w:type="dxa"/>
            <w:vAlign w:val="bottom"/>
          </w:tcPr>
          <w:p>
            <w:pPr>
              <w:ind w:left="20"/>
              <w:spacing w:after="0"/>
              <w:rPr>
                <w:sz w:val="20"/>
                <w:szCs w:val="20"/>
                <w:color w:val="auto"/>
              </w:rPr>
            </w:pPr>
            <w:r>
              <w:rPr>
                <w:rFonts w:ascii="Arial" w:cs="Arial" w:eastAsia="Arial" w:hAnsi="Arial"/>
                <w:sz w:val="14"/>
                <w:szCs w:val="14"/>
                <w:color w:val="auto"/>
              </w:rPr>
              <w:t>Fair value of share-based instruments</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32,898</w:t>
            </w:r>
          </w:p>
        </w:tc>
      </w:tr>
      <w:tr>
        <w:trPr>
          <w:trHeight w:val="192"/>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in conjunction with the Merger included in purchase consideration</w:t>
            </w: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714,957</w:t>
            </w:r>
          </w:p>
        </w:tc>
      </w:tr>
      <w:tr>
        <w:trPr>
          <w:trHeight w:val="179"/>
        </w:trPr>
        <w:tc>
          <w:tcPr>
            <w:tcW w:w="9060" w:type="dxa"/>
            <w:vAlign w:val="bottom"/>
          </w:tcPr>
          <w:p>
            <w:pPr>
              <w:ind w:left="20"/>
              <w:spacing w:after="0"/>
              <w:rPr>
                <w:sz w:val="20"/>
                <w:szCs w:val="20"/>
                <w:color w:val="auto"/>
              </w:rPr>
            </w:pPr>
            <w:r>
              <w:rPr>
                <w:rFonts w:ascii="Arial" w:cs="Arial" w:eastAsia="Arial" w:hAnsi="Arial"/>
                <w:sz w:val="14"/>
                <w:szCs w:val="14"/>
                <w:color w:val="auto"/>
              </w:rPr>
              <w:t>Fair value of total consideration transferred</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1,102,001</w:t>
            </w:r>
          </w:p>
        </w:tc>
      </w:tr>
      <w:tr>
        <w:trPr>
          <w:trHeight w:val="189"/>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acquired</w:t>
            </w: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14,787</w:t>
            </w:r>
          </w:p>
        </w:tc>
      </w:tr>
      <w:tr>
        <w:trPr>
          <w:trHeight w:val="186"/>
        </w:trPr>
        <w:tc>
          <w:tcPr>
            <w:tcW w:w="9060" w:type="dxa"/>
            <w:vAlign w:val="bottom"/>
          </w:tcPr>
          <w:p>
            <w:pPr>
              <w:ind w:left="20"/>
              <w:spacing w:after="0"/>
              <w:rPr>
                <w:sz w:val="20"/>
                <w:szCs w:val="20"/>
                <w:color w:val="auto"/>
              </w:rPr>
            </w:pPr>
            <w:r>
              <w:rPr>
                <w:rFonts w:ascii="Arial" w:cs="Arial" w:eastAsia="Arial" w:hAnsi="Arial"/>
                <w:sz w:val="14"/>
                <w:szCs w:val="14"/>
                <w:color w:val="auto"/>
              </w:rPr>
              <w:t>Fair value of total consideration acquired, net of cash acquired</w:t>
            </w: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1,087,214</w:t>
            </w:r>
          </w:p>
        </w:tc>
      </w:tr>
      <w:tr>
        <w:trPr>
          <w:trHeight w:val="20"/>
        </w:trPr>
        <w:tc>
          <w:tcPr>
            <w:tcW w:w="9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332"/>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These shares were not adjusted for the one share for four share reverse stock split effective on February 3, 2020. See Note 15, </w:t>
      </w:r>
      <w:r>
        <w:rPr>
          <w:rFonts w:ascii="Arial" w:cs="Arial" w:eastAsia="Arial" w:hAnsi="Arial"/>
          <w:sz w:val="18"/>
          <w:szCs w:val="18"/>
          <w:i w:val="1"/>
          <w:iCs w:val="1"/>
          <w:color w:val="auto"/>
        </w:rPr>
        <w:t>Stockholders’ Equity</w:t>
      </w:r>
      <w:r>
        <w:rPr>
          <w:rFonts w:ascii="Arial" w:cs="Arial" w:eastAsia="Arial" w:hAnsi="Arial"/>
          <w:sz w:val="18"/>
          <w:szCs w:val="18"/>
          <w:color w:val="auto"/>
        </w:rPr>
        <w:t>, for further discussion of the one share for four share reverse stock split.</w:t>
      </w:r>
    </w:p>
    <w:p>
      <w:pPr>
        <w:spacing w:after="0" w:line="13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Cash paid in conjunction with the Merger includes payments made for settlement of $575.0 million in legacy BioScrip debt, $125.8 million in existing BioScrip preferred shares, and $14.1 million in legacy BioScrip success-based fees owed to third-party advisors. HC II financed these payments primarily through cash on hand and debt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allocation of consideration exchanged to the net tangible and intangible assets acquired and liabilities assumed, net of cash acquired, in the Merger is as follows (in thousands):</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8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Amount</w:t>
            </w: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 (1)</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96,532</w:t>
            </w:r>
          </w:p>
        </w:tc>
      </w:tr>
      <w:tr>
        <w:trPr>
          <w:trHeight w:val="186"/>
        </w:trPr>
        <w:tc>
          <w:tcPr>
            <w:tcW w:w="5800" w:type="dxa"/>
            <w:vAlign w:val="bottom"/>
          </w:tcPr>
          <w:p>
            <w:pPr>
              <w:ind w:left="20"/>
              <w:spacing w:after="0"/>
              <w:rPr>
                <w:sz w:val="20"/>
                <w:szCs w:val="20"/>
                <w:color w:val="auto"/>
              </w:rPr>
            </w:pPr>
            <w:r>
              <w:rPr>
                <w:rFonts w:ascii="Arial" w:cs="Arial" w:eastAsia="Arial" w:hAnsi="Arial"/>
                <w:sz w:val="14"/>
                <w:szCs w:val="14"/>
                <w:color w:val="auto"/>
              </w:rPr>
              <w:t>Inventories (2)</w:t>
            </w:r>
          </w:p>
        </w:tc>
        <w:tc>
          <w:tcPr>
            <w:tcW w:w="4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19,683</w:t>
            </w:r>
          </w:p>
        </w:tc>
      </w:tr>
      <w:tr>
        <w:trPr>
          <w:trHeight w:val="192"/>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 (3)</w:t>
            </w:r>
          </w:p>
        </w:tc>
        <w:tc>
          <w:tcPr>
            <w:tcW w:w="4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48,732</w:t>
            </w:r>
          </w:p>
        </w:tc>
      </w:tr>
      <w:tr>
        <w:trPr>
          <w:trHeight w:val="186"/>
        </w:trPr>
        <w:tc>
          <w:tcPr>
            <w:tcW w:w="5800" w:type="dxa"/>
            <w:vAlign w:val="bottom"/>
          </w:tcPr>
          <w:p>
            <w:pPr>
              <w:ind w:left="20"/>
              <w:spacing w:after="0"/>
              <w:rPr>
                <w:sz w:val="20"/>
                <w:szCs w:val="20"/>
                <w:color w:val="auto"/>
              </w:rPr>
            </w:pPr>
            <w:r>
              <w:rPr>
                <w:rFonts w:ascii="Arial" w:cs="Arial" w:eastAsia="Arial" w:hAnsi="Arial"/>
                <w:sz w:val="14"/>
                <w:szCs w:val="14"/>
                <w:color w:val="auto"/>
              </w:rPr>
              <w:t>Intangible assets, net (4)</w:t>
            </w:r>
          </w:p>
        </w:tc>
        <w:tc>
          <w:tcPr>
            <w:tcW w:w="4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193,245</w:t>
            </w:r>
          </w:p>
        </w:tc>
      </w:tr>
      <w:tr>
        <w:trPr>
          <w:trHeight w:val="192"/>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 of deferred tax liabilities (5)</w:t>
            </w:r>
          </w:p>
        </w:tc>
        <w:tc>
          <w:tcPr>
            <w:tcW w:w="4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26,731</w:t>
            </w:r>
          </w:p>
        </w:tc>
      </w:tr>
      <w:tr>
        <w:trPr>
          <w:trHeight w:val="186"/>
        </w:trPr>
        <w:tc>
          <w:tcPr>
            <w:tcW w:w="5800" w:type="dxa"/>
            <w:vAlign w:val="bottom"/>
          </w:tcPr>
          <w:p>
            <w:pPr>
              <w:ind w:left="20"/>
              <w:spacing w:after="0"/>
              <w:rPr>
                <w:sz w:val="20"/>
                <w:szCs w:val="20"/>
                <w:color w:val="auto"/>
              </w:rPr>
            </w:pPr>
            <w:r>
              <w:rPr>
                <w:rFonts w:ascii="Arial" w:cs="Arial" w:eastAsia="Arial" w:hAnsi="Arial"/>
                <w:sz w:val="14"/>
                <w:szCs w:val="14"/>
                <w:color w:val="auto"/>
              </w:rPr>
              <w:t>Operating lease right-of-use asset (6)</w:t>
            </w:r>
          </w:p>
        </w:tc>
        <w:tc>
          <w:tcPr>
            <w:tcW w:w="4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22,378</w:t>
            </w:r>
          </w:p>
        </w:tc>
      </w:tr>
      <w:tr>
        <w:trPr>
          <w:trHeight w:val="192"/>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 (6)</w:t>
            </w:r>
          </w:p>
        </w:tc>
        <w:tc>
          <w:tcPr>
            <w:tcW w:w="4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(28,897)</w:t>
            </w:r>
          </w:p>
        </w:tc>
      </w:tr>
      <w:tr>
        <w:trPr>
          <w:trHeight w:val="186"/>
        </w:trPr>
        <w:tc>
          <w:tcPr>
            <w:tcW w:w="5800" w:type="dxa"/>
            <w:vAlign w:val="bottom"/>
          </w:tcPr>
          <w:p>
            <w:pPr>
              <w:ind w:left="20"/>
              <w:spacing w:after="0"/>
              <w:rPr>
                <w:sz w:val="20"/>
                <w:szCs w:val="20"/>
                <w:color w:val="auto"/>
              </w:rPr>
            </w:pPr>
            <w:r>
              <w:rPr>
                <w:rFonts w:ascii="Arial" w:cs="Arial" w:eastAsia="Arial" w:hAnsi="Arial"/>
                <w:sz w:val="14"/>
                <w:szCs w:val="14"/>
                <w:color w:val="auto"/>
              </w:rPr>
              <w:t>Accounts payable (7)</w:t>
            </w:r>
          </w:p>
        </w:tc>
        <w:tc>
          <w:tcPr>
            <w:tcW w:w="4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(66,668)</w:t>
            </w:r>
          </w:p>
        </w:tc>
      </w:tr>
      <w:tr>
        <w:trPr>
          <w:trHeight w:val="192"/>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assumed liabilities, net of other acquired assets (7)</w:t>
            </w:r>
          </w:p>
        </w:tc>
        <w:tc>
          <w:tcPr>
            <w:tcW w:w="4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(20,663)</w:t>
            </w:r>
          </w:p>
        </w:tc>
      </w:tr>
      <w:tr>
        <w:trPr>
          <w:trHeight w:val="179"/>
        </w:trPr>
        <w:tc>
          <w:tcPr>
            <w:tcW w:w="5800" w:type="dxa"/>
            <w:vAlign w:val="bottom"/>
          </w:tcPr>
          <w:p>
            <w:pPr>
              <w:ind w:left="200"/>
              <w:spacing w:after="0"/>
              <w:rPr>
                <w:sz w:val="20"/>
                <w:szCs w:val="20"/>
                <w:color w:val="auto"/>
              </w:rPr>
            </w:pPr>
            <w:r>
              <w:rPr>
                <w:rFonts w:ascii="Arial" w:cs="Arial" w:eastAsia="Arial" w:hAnsi="Arial"/>
                <w:sz w:val="14"/>
                <w:szCs w:val="14"/>
                <w:color w:val="auto"/>
              </w:rPr>
              <w:t>Total acquired identifiable assets and liabilities</w:t>
            </w:r>
          </w:p>
        </w:tc>
        <w:tc>
          <w:tcPr>
            <w:tcW w:w="4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291,073</w:t>
            </w: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(8)</w:t>
            </w:r>
          </w:p>
        </w:tc>
        <w:tc>
          <w:tcPr>
            <w:tcW w:w="4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796,141</w:t>
            </w:r>
          </w:p>
        </w:tc>
      </w:tr>
      <w:tr>
        <w:trPr>
          <w:trHeight w:val="186"/>
        </w:trPr>
        <w:tc>
          <w:tcPr>
            <w:tcW w:w="5800" w:type="dxa"/>
            <w:vAlign w:val="bottom"/>
          </w:tcPr>
          <w:p>
            <w:pPr>
              <w:ind w:left="200"/>
              <w:spacing w:after="0"/>
              <w:rPr>
                <w:sz w:val="20"/>
                <w:szCs w:val="20"/>
                <w:color w:val="auto"/>
              </w:rPr>
            </w:pPr>
            <w:r>
              <w:rPr>
                <w:rFonts w:ascii="Arial" w:cs="Arial" w:eastAsia="Arial" w:hAnsi="Arial"/>
                <w:sz w:val="14"/>
                <w:szCs w:val="14"/>
                <w:color w:val="auto"/>
              </w:rPr>
              <w:t>Total consideration transferred</w:t>
            </w: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1,087,214</w:t>
            </w:r>
          </w:p>
        </w:tc>
      </w:tr>
      <w:tr>
        <w:trPr>
          <w:trHeight w:val="20"/>
        </w:trPr>
        <w:tc>
          <w:tcPr>
            <w:tcW w:w="5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has valued accounts receivables based on the estimated future collectability of the receivables portfolio.</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are stated at fair value as of the Merger Date.</w:t>
      </w:r>
    </w:p>
    <w:p>
      <w:pPr>
        <w:spacing w:after="0" w:line="9" w:lineRule="exact"/>
        <w:rPr>
          <w:rFonts w:ascii="Arial" w:cs="Arial" w:eastAsia="Arial" w:hAnsi="Arial"/>
          <w:sz w:val="18"/>
          <w:szCs w:val="18"/>
          <w:color w:val="auto"/>
        </w:rPr>
      </w:pPr>
    </w:p>
    <w:p>
      <w:pPr>
        <w:ind w:left="740" w:right="260" w:hanging="327"/>
        <w:spacing w:after="0" w:line="265" w:lineRule="auto"/>
        <w:tabs>
          <w:tab w:leader="none" w:pos="73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fair value of the property and equipment was determined based upon the best and highest use of the property with final values determined based upon an analysis of the cost, sales comparison, and income capitalization approaches for each property appraised.</w:t>
      </w: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allocation of consideration exchanged to intangible assets acquired is as follows (in thousands):</w:t>
      </w:r>
    </w:p>
    <w:p>
      <w:pPr>
        <w:spacing w:after="0" w:line="1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Weighted Average Estimated</w:t>
            </w:r>
          </w:p>
        </w:tc>
        <w:tc>
          <w:tcPr>
            <w:tcW w:w="0" w:type="dxa"/>
            <w:vAlign w:val="bottom"/>
          </w:tcPr>
          <w:p>
            <w:pPr>
              <w:spacing w:after="0"/>
              <w:rPr>
                <w:sz w:val="1"/>
                <w:szCs w:val="1"/>
                <w:color w:val="auto"/>
              </w:rPr>
            </w:pPr>
          </w:p>
        </w:tc>
      </w:tr>
      <w:tr>
        <w:trPr>
          <w:trHeight w:val="188"/>
        </w:trPr>
        <w:tc>
          <w:tcPr>
            <w:tcW w:w="50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Trademarks/Names</w:t>
            </w:r>
          </w:p>
        </w:tc>
        <w:tc>
          <w:tcPr>
            <w:tcW w:w="1400" w:type="dxa"/>
            <w:vAlign w:val="bottom"/>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12,536</w:t>
            </w:r>
          </w:p>
        </w:tc>
        <w:tc>
          <w:tcPr>
            <w:tcW w:w="1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Arial" w:cs="Arial" w:eastAsia="Arial" w:hAnsi="Arial"/>
                <w:sz w:val="14"/>
                <w:szCs w:val="14"/>
                <w:color w:val="auto"/>
              </w:rPr>
              <w:t>Patient referral sources</w:t>
            </w:r>
          </w:p>
        </w:tc>
        <w:tc>
          <w:tcPr>
            <w:tcW w:w="1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180,329</w:t>
            </w: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Licenses</w:t>
            </w:r>
          </w:p>
        </w:tc>
        <w:tc>
          <w:tcPr>
            <w:tcW w:w="14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Arial" w:cs="Arial" w:eastAsia="Arial" w:hAnsi="Arial"/>
                <w:sz w:val="14"/>
                <w:szCs w:val="14"/>
                <w:color w:val="auto"/>
              </w:rPr>
              <w:t>Total intangible assets, net</w:t>
            </w:r>
          </w:p>
        </w:tc>
        <w:tc>
          <w:tcPr>
            <w:tcW w:w="140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193,245</w:t>
            </w: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40" w:right="540"/>
        <w:spacing w:after="0" w:line="258" w:lineRule="auto"/>
        <w:rPr>
          <w:sz w:val="20"/>
          <w:szCs w:val="20"/>
          <w:color w:val="auto"/>
        </w:rPr>
      </w:pPr>
      <w:r>
        <w:rPr>
          <w:rFonts w:ascii="Arial" w:cs="Arial" w:eastAsia="Arial" w:hAnsi="Arial"/>
          <w:sz w:val="18"/>
          <w:szCs w:val="18"/>
          <w:color w:val="auto"/>
        </w:rPr>
        <w:t>The Company valued trademarks/names utilizing the relief of royalty method and patient referral sources utilizing the multi-period excess earnings method, a form of the income approach.</w:t>
      </w:r>
    </w:p>
    <w:p>
      <w:pPr>
        <w:spacing w:after="0" w:line="1" w:lineRule="exact"/>
        <w:rPr>
          <w:sz w:val="20"/>
          <w:szCs w:val="20"/>
          <w:color w:val="auto"/>
        </w:rPr>
      </w:pPr>
    </w:p>
    <w:p>
      <w:pPr>
        <w:ind w:left="740" w:right="140" w:hanging="327"/>
        <w:spacing w:after="0" w:line="250" w:lineRule="auto"/>
        <w:tabs>
          <w:tab w:leader="none" w:pos="734"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deferred tax assets represented the expected future tax consequences of temporary differences between the fair values of the assets acquired and liabilities assumed and their tax bases.</w:t>
      </w:r>
    </w:p>
    <w:p>
      <w:pPr>
        <w:ind w:left="740" w:right="400" w:hanging="327"/>
        <w:spacing w:after="0" w:line="250" w:lineRule="auto"/>
        <w:tabs>
          <w:tab w:leader="none" w:pos="73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the operating lease liability and corresponding right-of-use asset (current and long-term) was based on current market rates available to the Company.</w:t>
      </w:r>
    </w:p>
    <w:p>
      <w:pPr>
        <w:ind w:left="740" w:hanging="327"/>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Accounts payable as well as certain other current and non-current assets and liabilities are stated at fair value as of the Merger Date.</w:t>
      </w:r>
    </w:p>
    <w:p>
      <w:pPr>
        <w:spacing w:after="0" w:line="20" w:lineRule="exact"/>
        <w:rPr>
          <w:rFonts w:ascii="Arial" w:cs="Arial" w:eastAsia="Arial" w:hAnsi="Arial"/>
          <w:sz w:val="17"/>
          <w:szCs w:val="17"/>
          <w:color w:val="auto"/>
        </w:rPr>
      </w:pPr>
    </w:p>
    <w:p>
      <w:pPr>
        <w:ind w:left="740" w:hanging="327"/>
        <w:spacing w:after="0" w:line="323" w:lineRule="auto"/>
        <w:tabs>
          <w:tab w:leader="none" w:pos="73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Merger resulted in $796.1 million of goodwill, which is attributable to cost synergies resulting from procurement and operational efficiencies and elimination of duplicative administrative costs. The goodwill created in the Merger is not expected to be deductible for tax purposes.</w:t>
      </w:r>
    </w:p>
    <w:p>
      <w:pPr>
        <w:spacing w:after="0" w:line="11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Assuming BioScrip had been acquired as of January 1, 2018, and the results of BioScrip had been included in operations beginning on January 1, 2018, the unaudited pro forma results of operations for the three and nine months ended September 30, 2019 were net revenue of $690.4 million and $2,034.6 million, respectively, and net loss of $18.7 million and $54.2 million, respectively. The pro forma net loss adjusts for the effect of fair value adjustments related to the Merger, transaction costs and other non-recurring costs directly attributable to the Merger and the impact of the additional debt to finance the Merger. Unaudited pro forma information is not necessarily indicative of the results that actually would have occurred had the Merger been completed on the date indicated or the future operating results.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0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sets forth the net revenue earned by category of payer for the three and nine months ended September 30, 2020 and 2019 (in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336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42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payers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644,385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525,927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1,893,105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1,373,481</w:t>
            </w: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Government payers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127,435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80,280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308,830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194,875</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25,962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21,282</w:t>
            </w:r>
          </w:p>
        </w:tc>
      </w:tr>
      <w:tr>
        <w:trPr>
          <w:trHeight w:val="212"/>
        </w:trPr>
        <w:tc>
          <w:tcPr>
            <w:tcW w:w="424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781,609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615,880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2,227,897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1,589,638</w:t>
            </w:r>
          </w:p>
        </w:tc>
      </w:tr>
      <w:tr>
        <w:trPr>
          <w:trHeight w:val="21"/>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the three and nine months ended September 30, 2020, the Company recorded tax expense of $0.8 million and $2.3 million, respectively, which represents an effective tax rate of 31.3% and (9.6)%, respectively. During the three and nine months ended September 30, 2019 the Company recorded a tax expense (benefit) of $3.6 million and $(3.3) million, respectively, which represents an effective tax rate of (9.1)% and 5.2%, respectively.</w:t>
      </w:r>
    </w:p>
    <w:p>
      <w:pPr>
        <w:spacing w:after="0" w:line="10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maintains a full valuation allowance against all of its net U.S. federal and state deferred tax assets with the exception of $0.6 million of estimated state net operating losses (“NOL”).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16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Based on the Company’s full valuation allowance, as noted above, the Company’s tax expense for the three and nine months ended September 30, 2020 of $0.8 million and $2.3 million consists of quarterly tax liabilities attributable to specific state taxing authorities as well as recognized deferred tax expense.</w:t>
      </w:r>
    </w:p>
    <w:p>
      <w:pPr>
        <w:spacing w:after="0" w:line="14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Company recorded no income tax expense or benefit for the three or nine months ended September 30, 2020 and 2019 associated with the tax provisions of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presents basic and diluted earnings (loss) per share for its common stock. Basic earnings (loss) per share is calculated by dividing the net income (loss) of the Company by the weighted average number of shares of common stock outstanding during the period. Diluted earnings (loss) per share is determined by adjusting the profit or loss and the weighted average number of shares of common stock outstanding for the effects of all potentially dilutive securities.</w:t>
      </w:r>
    </w:p>
    <w:p>
      <w:pPr>
        <w:spacing w:after="0" w:line="187" w:lineRule="exact"/>
        <w:rPr>
          <w:sz w:val="20"/>
          <w:szCs w:val="20"/>
          <w:color w:val="auto"/>
        </w:rPr>
      </w:pPr>
    </w:p>
    <w:p>
      <w:pPr>
        <w:ind w:right="60" w:firstLine="324"/>
        <w:spacing w:after="0" w:line="266" w:lineRule="auto"/>
        <w:rPr>
          <w:sz w:val="20"/>
          <w:szCs w:val="20"/>
          <w:color w:val="auto"/>
        </w:rPr>
      </w:pPr>
      <w:r>
        <w:rPr>
          <w:rFonts w:ascii="Arial" w:cs="Arial" w:eastAsia="Arial" w:hAnsi="Arial"/>
          <w:sz w:val="16"/>
          <w:szCs w:val="16"/>
          <w:color w:val="auto"/>
        </w:rPr>
        <w:t>As a result of the Merger, which has been accounted for as a reverse merger, all historical per share data and number of shares and equity awards were retroactively adjusted. The earnings (loss) is used as the basis of determining whether the inclusion of common stock equivalents would be anti-dilutive. The computation of diluted shares for the three months ended September 30, 2020 includes the effect of shares that would be issued in connection with warrants, stock options and restricted stock awards, as these common stock equivalents are dilutive to the earnings per share recorded in the quarter. The computation of diluted shares for the nine months ended September 30, 2020 and the three and nine months ended September 30, 2019 excludes the effect of these common stock equivalents as their inclusion would be anti-dilutive to the loss per share recorded in those periods. As of September 30, 2020 there were 2,328,120 warrants, 424,878 stock options and 600,483 restricted stock awards outstanding that were excluded from the calculation of earnings (loss) per share for the nine months ended September 30, 2020 as they would be anti-dilutive. As of September 30, 2019, there were 2,987,336 warrants, 657,846 stock options and 109,905 restricted stock awards outstanding that were excluded from the calculation of earnings (loss) per share for the three and nine months ended September 30, 2019 as they would be anti-dilutive.</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Company’s basic earnings (loss) per share and shares outstanding (in thousands, except per share data):</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18"/>
                <w:szCs w:val="18"/>
                <w:color w:val="auto"/>
              </w:rPr>
            </w:pPr>
          </w:p>
        </w:tc>
        <w:tc>
          <w:tcPr>
            <w:tcW w:w="290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5"/>
              </w:rPr>
              <w:t>Nine Months Ended September 30,</w:t>
            </w:r>
          </w:p>
        </w:tc>
        <w:tc>
          <w:tcPr>
            <w:tcW w:w="0" w:type="dxa"/>
            <w:vAlign w:val="bottom"/>
          </w:tcPr>
          <w:p>
            <w:pPr>
              <w:spacing w:after="0"/>
              <w:rPr>
                <w:sz w:val="1"/>
                <w:szCs w:val="1"/>
                <w:color w:val="auto"/>
              </w:rPr>
            </w:pPr>
          </w:p>
        </w:tc>
      </w:tr>
      <w:tr>
        <w:trPr>
          <w:trHeight w:val="207"/>
        </w:trPr>
        <w:tc>
          <w:tcPr>
            <w:tcW w:w="45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4560" w:type="dxa"/>
            <w:vAlign w:val="bottom"/>
          </w:tcPr>
          <w:p>
            <w:pPr>
              <w:ind w:left="20"/>
              <w:spacing w:after="0"/>
              <w:rPr>
                <w:sz w:val="20"/>
                <w:szCs w:val="20"/>
                <w:color w:val="auto"/>
              </w:rPr>
            </w:pPr>
            <w:r>
              <w:rPr>
                <w:rFonts w:ascii="Arial" w:cs="Arial" w:eastAsia="Arial" w:hAnsi="Arial"/>
                <w:sz w:val="16"/>
                <w:szCs w:val="16"/>
                <w:color w:val="auto"/>
              </w:rPr>
              <w:t>Numerator:</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(60,109)</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Weighted average number of common shares outstanding</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179,220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149,448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(loss) per common share, basic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Company’s diluted earnings (loss) per share and shares outstanding (in thousands, except per share data):</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3220" w:type="dxa"/>
            <w:vAlign w:val="bottom"/>
            <w:gridSpan w:val="6"/>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18"/>
                <w:szCs w:val="18"/>
                <w:color w:val="auto"/>
              </w:rPr>
            </w:pPr>
          </w:p>
        </w:tc>
        <w:tc>
          <w:tcPr>
            <w:tcW w:w="290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5"/>
              </w:rPr>
              <w:t>Nine Months Ended September 30,</w:t>
            </w:r>
          </w:p>
        </w:tc>
        <w:tc>
          <w:tcPr>
            <w:tcW w:w="0" w:type="dxa"/>
            <w:vAlign w:val="bottom"/>
          </w:tcPr>
          <w:p>
            <w:pPr>
              <w:spacing w:after="0"/>
              <w:rPr>
                <w:sz w:val="1"/>
                <w:szCs w:val="1"/>
                <w:color w:val="auto"/>
              </w:rPr>
            </w:pPr>
          </w:p>
        </w:tc>
      </w:tr>
      <w:tr>
        <w:trPr>
          <w:trHeight w:val="207"/>
        </w:trPr>
        <w:tc>
          <w:tcPr>
            <w:tcW w:w="45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4560" w:type="dxa"/>
            <w:vAlign w:val="bottom"/>
          </w:tcPr>
          <w:p>
            <w:pPr>
              <w:ind w:left="20"/>
              <w:spacing w:after="0"/>
              <w:rPr>
                <w:sz w:val="20"/>
                <w:szCs w:val="20"/>
                <w:color w:val="auto"/>
              </w:rPr>
            </w:pPr>
            <w:r>
              <w:rPr>
                <w:rFonts w:ascii="Arial" w:cs="Arial" w:eastAsia="Arial" w:hAnsi="Arial"/>
                <w:sz w:val="16"/>
                <w:szCs w:val="16"/>
                <w:color w:val="auto"/>
              </w:rPr>
              <w:t>Numerator:</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income (loss)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(60,109)</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Weighted average number of common shares outstanding</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184,232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149,448</w:t>
            </w:r>
          </w:p>
        </w:tc>
        <w:tc>
          <w:tcPr>
            <w:tcW w:w="0" w:type="dxa"/>
            <w:vAlign w:val="bottom"/>
          </w:tcPr>
          <w:p>
            <w:pPr>
              <w:spacing w:after="0"/>
              <w:rPr>
                <w:sz w:val="1"/>
                <w:szCs w:val="1"/>
                <w:color w:val="auto"/>
              </w:rPr>
            </w:pPr>
          </w:p>
        </w:tc>
      </w:tr>
      <w:tr>
        <w:trPr>
          <w:trHeight w:val="213"/>
        </w:trPr>
        <w:tc>
          <w:tcPr>
            <w:tcW w:w="4560" w:type="dxa"/>
            <w:vAlign w:val="bottom"/>
          </w:tcPr>
          <w:p>
            <w:pPr>
              <w:ind w:left="100"/>
              <w:spacing w:after="0"/>
              <w:rPr>
                <w:sz w:val="20"/>
                <w:szCs w:val="20"/>
                <w:color w:val="auto"/>
              </w:rPr>
            </w:pPr>
            <w:r>
              <w:rPr>
                <w:rFonts w:ascii="Arial" w:cs="Arial" w:eastAsia="Arial" w:hAnsi="Arial"/>
                <w:sz w:val="16"/>
                <w:szCs w:val="16"/>
                <w:color w:val="auto"/>
              </w:rPr>
              <w:t>Effect of dilutive securities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5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w w:val="94"/>
              </w:rPr>
              <w:t>Weighted average number of common shares outstanding, diluted</w:t>
            </w:r>
          </w:p>
        </w:tc>
        <w:tc>
          <w:tcPr>
            <w:tcW w:w="92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184,822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149,448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(loss) per common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(loss) per common share, diluted</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During the three and nine months ended September 30, 2020, the Company incurred operating lease expenses of $7.6 million and $23.0 million, respectively, including short-term lease expense, which were included as a component of selling, general and administrative expense in the unaudited condensed consolidated statements of comprehensive income (loss). During the three and nine months ended September 30, 2019, the Company incurred operating lease expense of $7.4 million and $21.5 million, respectively, including short-term lease expenses, which were included as a component of selling, general and administrative expenses in the unaudited condensed consolidated statements of comprehensive income (loss). As of September 30, 2020, the weighted-average remaining lease term was 6.8 years and the weighted-average discount rate was 5.30%.</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leases mature as follows (in thousands):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140" w:type="dxa"/>
            <w:vAlign w:val="bottom"/>
            <w:gridSpan w:val="2"/>
          </w:tcPr>
          <w:p>
            <w:pPr>
              <w:ind w:left="860"/>
              <w:spacing w:after="0"/>
              <w:rPr>
                <w:sz w:val="20"/>
                <w:szCs w:val="20"/>
                <w:color w:val="auto"/>
              </w:rPr>
            </w:pPr>
            <w:r>
              <w:rPr>
                <w:rFonts w:ascii="Arial" w:cs="Arial" w:eastAsia="Arial" w:hAnsi="Arial"/>
                <w:sz w:val="16"/>
                <w:szCs w:val="16"/>
                <w:b w:val="1"/>
                <w:bCs w:val="1"/>
                <w:color w:val="auto"/>
              </w:rPr>
              <w:t>Fiscal Year Ending December 31,</w:t>
            </w:r>
          </w:p>
        </w:tc>
        <w:tc>
          <w:tcPr>
            <w:tcW w:w="240" w:type="dxa"/>
            <w:vAlign w:val="bottom"/>
          </w:tcPr>
          <w:p>
            <w:pPr>
              <w:spacing w:after="0"/>
              <w:rPr>
                <w:sz w:val="18"/>
                <w:szCs w:val="18"/>
                <w:color w:val="auto"/>
              </w:rPr>
            </w:pPr>
          </w:p>
        </w:tc>
        <w:tc>
          <w:tcPr>
            <w:tcW w:w="1920" w:type="dxa"/>
            <w:vAlign w:val="bottom"/>
          </w:tcPr>
          <w:p>
            <w:pPr>
              <w:jc w:val="right"/>
              <w:ind w:right="279"/>
              <w:spacing w:after="0"/>
              <w:rPr>
                <w:sz w:val="20"/>
                <w:szCs w:val="20"/>
                <w:color w:val="auto"/>
              </w:rPr>
            </w:pPr>
            <w:r>
              <w:rPr>
                <w:rFonts w:ascii="Arial" w:cs="Arial" w:eastAsia="Arial" w:hAnsi="Arial"/>
                <w:sz w:val="16"/>
                <w:szCs w:val="16"/>
                <w:b w:val="1"/>
                <w:bCs w:val="1"/>
                <w:color w:val="auto"/>
              </w:rPr>
              <w:t>Minimum Payments</w:t>
            </w:r>
          </w:p>
        </w:tc>
      </w:tr>
      <w:tr>
        <w:trPr>
          <w:trHeight w:val="209"/>
        </w:trPr>
        <w:tc>
          <w:tcPr>
            <w:tcW w:w="4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8,688</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22,799</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17,417</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13,698</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10,177</w:t>
            </w:r>
          </w:p>
        </w:tc>
      </w:tr>
      <w:tr>
        <w:trPr>
          <w:trHeight w:val="21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36,473</w:t>
            </w:r>
          </w:p>
        </w:tc>
      </w:tr>
      <w:tr>
        <w:trPr>
          <w:trHeight w:val="206"/>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109,252</w:t>
            </w:r>
          </w:p>
        </w:tc>
      </w:tr>
      <w:tr>
        <w:trPr>
          <w:trHeight w:val="21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22,529</w:t>
            </w:r>
          </w:p>
        </w:tc>
      </w:tr>
      <w:tr>
        <w:trPr>
          <w:trHeight w:val="213"/>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86,723</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During the three and nine months ended September 30, 2019, the Company did not enter into any significant new operating or financing leases. During the three and nine months ended September 30, 2020, the Company commenced new leases, extensions and amendments, resulting in non-cash investing and financing activities in the unaudited condensed consolidated statements of cash flow of $20.1 million related to increases in the operating lease right-of-use asset and operating lease liabilities, respectively. As of September 30, 2020,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was as follows as of September 30, 2020 and December 31, 2019 (in thousands):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2020</w:t>
            </w:r>
          </w:p>
        </w:tc>
        <w:tc>
          <w:tcPr>
            <w:tcW w:w="260" w:type="dxa"/>
            <w:vAlign w:val="bottom"/>
          </w:tcPr>
          <w:p>
            <w:pPr>
              <w:spacing w:after="0"/>
              <w:rPr>
                <w:sz w:val="18"/>
                <w:szCs w:val="18"/>
                <w:color w:val="auto"/>
              </w:rPr>
            </w:pPr>
          </w:p>
        </w:tc>
        <w:tc>
          <w:tcPr>
            <w:tcW w:w="18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 2019</w:t>
            </w:r>
          </w:p>
        </w:tc>
      </w:tr>
      <w:tr>
        <w:trPr>
          <w:trHeight w:val="21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33,368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30,416</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49,931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51,454</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80,916</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36,567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34,884</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14,150</w:t>
            </w:r>
          </w:p>
        </w:tc>
      </w:tr>
      <w:tr>
        <w:trPr>
          <w:trHeight w:val="209"/>
        </w:trPr>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206,978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211,820</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93,961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78,622</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113,017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133,198</w:t>
            </w: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Depreciation expense is recorded within cost of revenue and operating expenses within the unaudited condensed consolidated statements of comprehensive income (loss),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and nine months ended September 30, 2020 and 2019 (in thousands):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334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4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37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w:t>
            </w:r>
          </w:p>
        </w:tc>
      </w:tr>
      <w:tr>
        <w:trPr>
          <w:trHeight w:val="21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18,849</w:t>
            </w:r>
          </w:p>
        </w:tc>
      </w:tr>
      <w:tr>
        <w:trPr>
          <w:trHeight w:val="23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21,704</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carrying amount of goodwill consists of the following activity for the three and nine months ended September 30, 2020 (in thousands):</w:t>
      </w:r>
    </w:p>
    <w:p>
      <w:pPr>
        <w:spacing w:after="0" w:line="262"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1,425,542</w:t>
            </w:r>
          </w:p>
        </w:tc>
      </w:tr>
      <w:tr>
        <w:trPr>
          <w:trHeight w:val="219"/>
        </w:trPr>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accounting adjustments</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r>
      <w:tr>
        <w:trPr>
          <w:trHeight w:val="207"/>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1,427,883</w:t>
            </w:r>
          </w:p>
        </w:tc>
      </w:tr>
      <w:tr>
        <w:trPr>
          <w:trHeight w:val="219"/>
        </w:trPr>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accounting adjustments</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206"/>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1,428,610</w:t>
            </w: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w:t>
            </w:r>
          </w:p>
        </w:tc>
        <w:tc>
          <w:tcPr>
            <w:tcW w:w="5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1,428,610</w:t>
            </w:r>
          </w:p>
        </w:tc>
      </w:tr>
      <w:tr>
        <w:trPr>
          <w:trHeight w:val="21"/>
        </w:trPr>
        <w:tc>
          <w:tcPr>
            <w:tcW w:w="3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carrying amount of goodwill consists of the following activity for the three and nine months ended September 30, 2019 (in thousands):</w:t>
      </w:r>
    </w:p>
    <w:p>
      <w:pPr>
        <w:spacing w:after="0" w:line="249"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632,469</w:t>
            </w:r>
          </w:p>
        </w:tc>
      </w:tr>
      <w:tr>
        <w:trPr>
          <w:trHeight w:val="219"/>
        </w:trPr>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280" w:type="dxa"/>
            <w:vAlign w:val="bottom"/>
          </w:tcPr>
          <w:p>
            <w:pPr>
              <w:spacing w:after="0"/>
              <w:rPr>
                <w:sz w:val="20"/>
                <w:szCs w:val="20"/>
                <w:color w:val="auto"/>
              </w:rPr>
            </w:pPr>
            <w:r>
              <w:rPr>
                <w:rFonts w:ascii="Arial" w:cs="Arial" w:eastAsia="Arial" w:hAnsi="Arial"/>
                <w:sz w:val="16"/>
                <w:szCs w:val="16"/>
                <w:b w:val="1"/>
                <w:bCs w:val="1"/>
                <w:color w:val="auto"/>
              </w:rPr>
              <w:t>Balance at March 31, 2019</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632,469</w:t>
            </w:r>
          </w:p>
        </w:tc>
      </w:tr>
      <w:tr>
        <w:trPr>
          <w:trHeight w:val="219"/>
        </w:trPr>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280" w:type="dxa"/>
            <w:vAlign w:val="bottom"/>
          </w:tcPr>
          <w:p>
            <w:pPr>
              <w:spacing w:after="0"/>
              <w:rPr>
                <w:sz w:val="20"/>
                <w:szCs w:val="20"/>
                <w:color w:val="auto"/>
              </w:rPr>
            </w:pPr>
            <w:r>
              <w:rPr>
                <w:rFonts w:ascii="Arial" w:cs="Arial" w:eastAsia="Arial" w:hAnsi="Arial"/>
                <w:sz w:val="16"/>
                <w:szCs w:val="16"/>
                <w:b w:val="1"/>
                <w:bCs w:val="1"/>
                <w:color w:val="auto"/>
              </w:rPr>
              <w:t>Balance at June 30, 2019</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632,469</w:t>
            </w: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Acquisitions</w:t>
            </w:r>
          </w:p>
        </w:tc>
        <w:tc>
          <w:tcPr>
            <w:tcW w:w="5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786,904</w:t>
            </w: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2019</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1,419,373</w:t>
            </w:r>
          </w:p>
        </w:tc>
      </w:tr>
      <w:tr>
        <w:trPr>
          <w:trHeight w:val="20"/>
        </w:trPr>
        <w:tc>
          <w:tcPr>
            <w:tcW w:w="3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amount and accumulated amortization of intangible assets consists of the following as of September 30, 2020 and December 31, 2019 (in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2020</w:t>
            </w:r>
          </w:p>
        </w:tc>
        <w:tc>
          <w:tcPr>
            <w:tcW w:w="22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2019</w:t>
            </w:r>
          </w:p>
        </w:tc>
      </w:tr>
      <w:tr>
        <w:trPr>
          <w:trHeight w:val="199"/>
        </w:trPr>
        <w:tc>
          <w:tcPr>
            <w:tcW w:w="3880" w:type="dxa"/>
            <w:vAlign w:val="bottom"/>
          </w:tcPr>
          <w:p>
            <w:pPr>
              <w:ind w:left="20"/>
              <w:spacing w:after="0"/>
              <w:rPr>
                <w:sz w:val="20"/>
                <w:szCs w:val="20"/>
                <w:color w:val="auto"/>
              </w:rPr>
            </w:pPr>
            <w:r>
              <w:rPr>
                <w:rFonts w:ascii="Arial" w:cs="Arial" w:eastAsia="Arial" w:hAnsi="Arial"/>
                <w:sz w:val="16"/>
                <w:szCs w:val="16"/>
                <w:color w:val="auto"/>
              </w:rPr>
              <w:t>Gross intangible assets:</w:t>
            </w:r>
          </w:p>
        </w:tc>
        <w:tc>
          <w:tcPr>
            <w:tcW w:w="2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r>
      <w:tr>
        <w:trPr>
          <w:trHeight w:val="219"/>
        </w:trPr>
        <w:tc>
          <w:tcPr>
            <w:tcW w:w="3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Referral sources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438,121</w:t>
            </w:r>
          </w:p>
        </w:tc>
      </w:tr>
      <w:tr>
        <w:trPr>
          <w:trHeight w:val="213"/>
        </w:trPr>
        <w:tc>
          <w:tcPr>
            <w:tcW w:w="3880" w:type="dxa"/>
            <w:vAlign w:val="bottom"/>
          </w:tcPr>
          <w:p>
            <w:pPr>
              <w:ind w:left="120"/>
              <w:spacing w:after="0"/>
              <w:rPr>
                <w:sz w:val="20"/>
                <w:szCs w:val="20"/>
                <w:color w:val="auto"/>
              </w:rPr>
            </w:pPr>
            <w:r>
              <w:rPr>
                <w:rFonts w:ascii="Arial" w:cs="Arial" w:eastAsia="Arial" w:hAnsi="Arial"/>
                <w:sz w:val="16"/>
                <w:szCs w:val="16"/>
                <w:color w:val="auto"/>
              </w:rPr>
              <w:t>Trademarks/names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44,536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44,536</w:t>
            </w:r>
          </w:p>
        </w:tc>
      </w:tr>
      <w:tr>
        <w:trPr>
          <w:trHeight w:val="219"/>
        </w:trPr>
        <w:tc>
          <w:tcPr>
            <w:tcW w:w="3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amortizable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07"/>
        </w:trPr>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gross intangible assets</w:t>
            </w: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483,059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483,059</w:t>
            </w:r>
          </w:p>
        </w:tc>
      </w:tr>
      <w:tr>
        <w:trPr>
          <w:trHeight w:val="253"/>
        </w:trPr>
        <w:tc>
          <w:tcPr>
            <w:tcW w:w="3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9"/>
        </w:trPr>
        <w:tc>
          <w:tcPr>
            <w:tcW w:w="3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Referral sources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(84,295)</w:t>
            </w:r>
          </w:p>
        </w:tc>
      </w:tr>
      <w:tr>
        <w:trPr>
          <w:trHeight w:val="213"/>
        </w:trPr>
        <w:tc>
          <w:tcPr>
            <w:tcW w:w="3880" w:type="dxa"/>
            <w:vAlign w:val="bottom"/>
          </w:tcPr>
          <w:p>
            <w:pPr>
              <w:ind w:left="120"/>
              <w:spacing w:after="0"/>
              <w:rPr>
                <w:sz w:val="20"/>
                <w:szCs w:val="20"/>
                <w:color w:val="auto"/>
              </w:rPr>
            </w:pPr>
            <w:r>
              <w:rPr>
                <w:rFonts w:ascii="Arial" w:cs="Arial" w:eastAsia="Arial" w:hAnsi="Arial"/>
                <w:sz w:val="16"/>
                <w:szCs w:val="16"/>
                <w:color w:val="auto"/>
              </w:rPr>
              <w:t>Trademarks/names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(19,046)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(12,748)</w:t>
            </w:r>
          </w:p>
        </w:tc>
      </w:tr>
      <w:tr>
        <w:trPr>
          <w:trHeight w:val="219"/>
        </w:trPr>
        <w:tc>
          <w:tcPr>
            <w:tcW w:w="3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amortizable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6"/>
        </w:trPr>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accumulated amortization</w:t>
            </w: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(123,293)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(97,149)</w:t>
            </w:r>
          </w:p>
        </w:tc>
      </w:tr>
      <w:tr>
        <w:trPr>
          <w:trHeight w:val="23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359,766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385,910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for intangible assets was $8.8 million and $26.3 million for the three and nine months ended September 30,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intangible assets was $7.5 million and $17.3 million for the three and nine months ended September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INDEBTEDNESS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September 30, 2020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Principal Amount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7"/>
              </w:rPr>
              <w:t>Debt Issuance Costs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Net Balance</w:t>
            </w: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918,063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(20,506)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890,011</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294,781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282,075</w:t>
            </w: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1,212,844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1,172,086</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(9,250)</w:t>
            </w:r>
          </w:p>
        </w:tc>
        <w:tc>
          <w:tcPr>
            <w:tcW w:w="0" w:type="dxa"/>
            <w:vAlign w:val="bottom"/>
          </w:tcPr>
          <w:p>
            <w:pPr>
              <w:spacing w:after="0"/>
              <w:rPr>
                <w:sz w:val="1"/>
                <w:szCs w:val="1"/>
                <w:color w:val="auto"/>
              </w:rPr>
            </w:pPr>
          </w:p>
        </w:tc>
      </w:tr>
      <w:tr>
        <w:trPr>
          <w:trHeight w:val="212"/>
        </w:trPr>
        <w:tc>
          <w:tcPr>
            <w:tcW w:w="3400" w:type="dxa"/>
            <w:vAlign w:val="bottom"/>
          </w:tcPr>
          <w:p>
            <w:pPr>
              <w:ind w:left="20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1,162,836</w:t>
            </w:r>
          </w:p>
        </w:tc>
        <w:tc>
          <w:tcPr>
            <w:tcW w:w="0" w:type="dxa"/>
            <w:vAlign w:val="bottom"/>
          </w:tcPr>
          <w:p>
            <w:pPr>
              <w:spacing w:after="0"/>
              <w:rPr>
                <w:sz w:val="1"/>
                <w:szCs w:val="1"/>
                <w:color w:val="auto"/>
              </w:rPr>
            </w:pPr>
          </w:p>
        </w:tc>
      </w:tr>
      <w:tr>
        <w:trPr>
          <w:trHeight w:val="21"/>
        </w:trPr>
        <w:tc>
          <w:tcPr>
            <w:tcW w:w="6980" w:type="dxa"/>
            <w:vAlign w:val="bottom"/>
            <w:gridSpan w:val="7"/>
            <w:vMerge w:val="restart"/>
          </w:tcPr>
          <w:p>
            <w:pPr>
              <w:spacing w:after="0"/>
              <w:rPr>
                <w:sz w:val="20"/>
                <w:szCs w:val="20"/>
                <w:color w:val="auto"/>
              </w:rPr>
            </w:pPr>
            <w:r>
              <w:rPr>
                <w:rFonts w:ascii="Arial" w:cs="Arial" w:eastAsia="Arial" w:hAnsi="Arial"/>
                <w:sz w:val="18"/>
                <w:szCs w:val="18"/>
                <w:color w:val="auto"/>
              </w:rPr>
              <w:t>Long-term debt consisted of the following as of December 31, 2019 (in thousands):</w:t>
            </w: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98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Principal Amount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7"/>
              </w:rPr>
              <w:t>Debt Issuance Costs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Net Balance</w:t>
            </w:r>
          </w:p>
        </w:tc>
      </w:tr>
      <w:tr>
        <w:trPr>
          <w:trHeight w:val="21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925,000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(22,825)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893,776</w:t>
            </w: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412,256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392,720</w:t>
            </w:r>
          </w:p>
        </w:tc>
      </w:tr>
      <w:tr>
        <w:trPr>
          <w:trHeight w:val="212"/>
        </w:trPr>
        <w:tc>
          <w:tcPr>
            <w:tcW w:w="34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1,337,256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1,286,496</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80"/>
        </w:trPr>
        <w:tc>
          <w:tcPr>
            <w:tcW w:w="34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(9,250)</w:t>
            </w:r>
          </w:p>
        </w:tc>
      </w:tr>
      <w:tr>
        <w:trPr>
          <w:trHeight w:val="212"/>
        </w:trPr>
        <w:tc>
          <w:tcPr>
            <w:tcW w:w="3400" w:type="dxa"/>
            <w:vAlign w:val="bottom"/>
          </w:tcPr>
          <w:p>
            <w:pPr>
              <w:ind w:left="20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1,277,246</w:t>
            </w:r>
          </w:p>
        </w:tc>
      </w:tr>
      <w:tr>
        <w:trPr>
          <w:trHeight w:val="21"/>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interest rate on the first lien term loan was 4.65% and 6.20% as of September 30, 2020 and December 31, 2019, respectively. The weighted average interest rate incurred on the first lien term loan was 4.67% and 5.29% for the three and nine months ended September 30, 2020. The weighted average interest rate incurred on the first lien term loan was 6.67% for the period August 6, 2019 through September 30, 2019. The weighted average interest rate incurred on the previous first lien term loan was 6.06% and 6.20% for the three and nine months ended September 30, 2019, respectively, prior to the retirement of the previous credit facilities on August 6, 2019. The interest rate on the second lien notes was 9.00% and 10.66% as of September 30, 2020 and December 31, 2019, respectively. The weighted average interest incurred on the second lien notes was 9.51% and 10.17% for the three and nine months ended September 30, 2020. The weighted average interest rate incurred on the second lien notes was 10.89% for the period August 6, 2019 through September 30, 2019. The weighted average interest incurred on the previous second lien term loan was 11.02% and 11.36% for the three and nine months ended September 30, 2019, respectively, prior to the retirement of the previous credit facilities on August 6, 2019.</w:t>
      </w:r>
    </w:p>
    <w:p>
      <w:pPr>
        <w:spacing w:after="0" w:line="12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Company elected to pay-in-kind (“PIK”) the quarterly interest payment due in August 2020 for the second lien notes, which resulted in the Company capitalizing $7.5 million in interest expense to the principal balance of the second lien term loan on the interest payment date. In connection with the PIK election, the Company was charged an additional 1.00% in interest expense during the quarterly interest period.</w:t>
      </w:r>
    </w:p>
    <w:p>
      <w:pPr>
        <w:spacing w:after="0" w:line="1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 xml:space="preserve">During the three months ended September 30, 2020, the Company completed a public offering of stock for net proceeds of $118.9 million. Those proceeds, along with additional cash on hand, were used to prepay $125.0 million of the second lien notes, which is reflected as a cash outflow from financing activities in the Company’s unaudited condensed consolidated statements of cash flows. The Company recognized a loss on extinguishment of debt of $8.3 million, of which $2.5 million related to a prepayment penalty and $5.8 million related to deferred financing fees, which were written off upon extinguishment. The $2.5 million prepayment penalty was reflected as a cash outflow from financing activities in the unaudited condensed consolidated statements of cash flows. See Note 15, </w:t>
      </w:r>
      <w:r>
        <w:rPr>
          <w:rFonts w:ascii="Arial" w:cs="Arial" w:eastAsia="Arial" w:hAnsi="Arial"/>
          <w:sz w:val="17"/>
          <w:szCs w:val="17"/>
          <w:i w:val="1"/>
          <w:iCs w:val="1"/>
          <w:color w:val="auto"/>
        </w:rPr>
        <w:t>Stockholders’ Equity</w:t>
      </w:r>
      <w:r>
        <w:rPr>
          <w:rFonts w:ascii="Arial" w:cs="Arial" w:eastAsia="Arial" w:hAnsi="Arial"/>
          <w:sz w:val="17"/>
          <w:szCs w:val="17"/>
          <w:color w:val="auto"/>
        </w:rPr>
        <w:t>, for further discussion of the public offering.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matures as follows (in thousands):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16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000" w:type="dxa"/>
            <w:vAlign w:val="bottom"/>
            <w:gridSpan w:val="2"/>
          </w:tcPr>
          <w:p>
            <w:pPr>
              <w:spacing w:after="0"/>
              <w:rPr>
                <w:sz w:val="20"/>
                <w:szCs w:val="20"/>
                <w:color w:val="auto"/>
              </w:rPr>
            </w:pPr>
            <w:r>
              <w:rPr>
                <w:rFonts w:ascii="Arial" w:cs="Arial" w:eastAsia="Arial" w:hAnsi="Arial"/>
                <w:sz w:val="16"/>
                <w:szCs w:val="16"/>
                <w:b w:val="1"/>
                <w:bCs w:val="1"/>
                <w:color w:val="auto"/>
              </w:rPr>
              <w:t>Minimum Payments</w:t>
            </w:r>
          </w:p>
        </w:tc>
      </w:tr>
      <w:tr>
        <w:trPr>
          <w:trHeight w:val="21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9,250</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9,250</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13"/>
        </w:trPr>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Thereafter</w:t>
            </w:r>
          </w:p>
        </w:tc>
        <w:tc>
          <w:tcPr>
            <w:tcW w:w="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1,173,531</w:t>
            </w:r>
          </w:p>
        </w:tc>
      </w:tr>
      <w:tr>
        <w:trPr>
          <w:trHeight w:val="238"/>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1,212,844</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 xml:space="preserve">During the three and nine months ended September 30, 2020 and 2019, the Company engaged in hedging activities to limit its exposure to changes in interest rates. See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estimated fair values of the Company’s debt obligations as of September 30, 2020 (in thousands):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Carrying Value as of</w:t>
            </w:r>
          </w:p>
        </w:tc>
        <w:tc>
          <w:tcPr>
            <w:tcW w:w="20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5"/>
              </w:rPr>
              <w:t>Markets for Identical Item</w:t>
            </w:r>
          </w:p>
        </w:tc>
        <w:tc>
          <w:tcPr>
            <w:tcW w:w="24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Significant Other</w:t>
            </w:r>
          </w:p>
        </w:tc>
        <w:tc>
          <w:tcPr>
            <w:tcW w:w="120" w:type="dxa"/>
            <w:vAlign w:val="bottom"/>
          </w:tcPr>
          <w:p>
            <w:pPr>
              <w:spacing w:after="0"/>
              <w:rPr>
                <w:sz w:val="16"/>
                <w:szCs w:val="16"/>
                <w:color w:val="auto"/>
              </w:rPr>
            </w:pPr>
          </w:p>
        </w:tc>
        <w:tc>
          <w:tcPr>
            <w:tcW w:w="18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Significant Unobservable</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 Instrument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20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Observable Inputs (Level</w:t>
            </w:r>
          </w:p>
        </w:tc>
        <w:tc>
          <w:tcPr>
            <w:tcW w:w="1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6"/>
              </w:rPr>
              <w:t>September 30, 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8"/>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Inputs (Level 3)</w:t>
            </w:r>
          </w:p>
        </w:tc>
        <w:tc>
          <w:tcPr>
            <w:tcW w:w="0" w:type="dxa"/>
            <w:vAlign w:val="bottom"/>
          </w:tcPr>
          <w:p>
            <w:pPr>
              <w:spacing w:after="0"/>
              <w:rPr>
                <w:sz w:val="1"/>
                <w:szCs w:val="1"/>
                <w:color w:val="auto"/>
              </w:rPr>
            </w:pPr>
          </w:p>
        </w:tc>
      </w:tr>
      <w:tr>
        <w:trPr>
          <w:trHeight w:val="212"/>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 term loan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890,011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905,485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Second lien notes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282,075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321,172</w:t>
            </w:r>
          </w:p>
        </w:tc>
        <w:tc>
          <w:tcPr>
            <w:tcW w:w="0" w:type="dxa"/>
            <w:vAlign w:val="bottom"/>
          </w:tcPr>
          <w:p>
            <w:pPr>
              <w:spacing w:after="0"/>
              <w:rPr>
                <w:sz w:val="1"/>
                <w:szCs w:val="1"/>
                <w:color w:val="auto"/>
              </w:rPr>
            </w:pPr>
          </w:p>
        </w:tc>
      </w:tr>
      <w:tr>
        <w:trPr>
          <w:trHeight w:val="233"/>
        </w:trPr>
        <w:tc>
          <w:tcPr>
            <w:tcW w:w="2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debt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1,172,086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905,485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321,172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changes in Level 3 measurements for the three and nine months ended September 30, 2020 (in thousands):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6"/>
              </w:rPr>
              <w:t>Level 3 Measurements</w:t>
            </w: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January 1, 2020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411,119</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fair value</w:t>
            </w: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(71,748)</w:t>
            </w: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March 31, 2020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339,371</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fair value</w:t>
            </w: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78,539</w:t>
            </w: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June 30, 2020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417,910</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Interest rate PIK</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7,525</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prepayment</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fair value</w:t>
            </w: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20,737</w:t>
            </w:r>
          </w:p>
        </w:tc>
      </w:tr>
      <w:tr>
        <w:trPr>
          <w:trHeight w:val="23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September 30, 2020</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321,172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20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66"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During 2017, Option Care entered into interest rate caps that reduce the risk of increased interest payments due to interest rates rising. The hedges offset the risk of rising interest rates through 2020 on the first $250.0 million of the previous first lien term loan. The interest rate caps perfectly offset the terms of the interest rates associated with the variable interest rate previous first lien term loan. Option Care entered into the interest rate caps as a cash flow hedge for a notional amount of $1.9 million. In April 2019, Option Care terminated its interest rate caps.</w:t>
      </w:r>
    </w:p>
    <w:p>
      <w:pPr>
        <w:spacing w:after="0" w:line="131"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In August 2019, the Company entered into interest rate swap agreements that reduce the variability in the interest rates on the newly-issued debt obligations following the Merger with BioScrip. The first interest rate swap for $925.0 million notional was effective in August 2019 with $911.1 million designated as a cash flow hedge against the underlying interest rate on the first lien term loan interest payments indexed to one-month London Interbank Offered Rate (“LIBOR”) through August 2021. The remaining $13.9 million notional amount of the interest rate swap is not designated as a hedging instrument. The second interest rate swap of $400.0 million notional was effective in November 2019 and is designated as a cash flow hedge against the underlying interest rate on the second lien notes interest payments indexed to three-month LIBOR through November 2020.</w:t>
      </w:r>
    </w:p>
    <w:p>
      <w:pPr>
        <w:spacing w:after="0" w:line="124"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 xml:space="preserve">In May 2020, the Company elected to PIK the second lien note’s quarterly interest payment due in August 2020. Upon making the PIK election, the Company determined that the hedged interest payment would no longer occur, resulting in an ineffective hedge, so the Company discontinued hedge accounting on its $400.0 million notional interest rate swap. As a result, the Company reclassified accumulated comprehensive loss of $3.7 million to interest expense, net in the unaudited condensed consolidated statements of comprehensive income (loss). The gains and losses associated with the $400.0 million notional swap will be recognized in net income (loss) through interest expense until the swap expires in November 2020. See Note 10,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of the PIK. In accordance with ASU 2017-12,</w:t>
      </w:r>
      <w:r>
        <w:rPr>
          <w:rFonts w:ascii="Arial" w:cs="Arial" w:eastAsia="Arial" w:hAnsi="Arial"/>
          <w:sz w:val="17"/>
          <w:szCs w:val="17"/>
          <w:i w:val="1"/>
          <w:iCs w:val="1"/>
          <w:color w:val="auto"/>
        </w:rPr>
        <w:t xml:space="preserve"> Targeted Improvements to Accounting for Hedges</w:t>
      </w:r>
      <w:r>
        <w:rPr>
          <w:rFonts w:ascii="Arial" w:cs="Arial" w:eastAsia="Arial" w:hAnsi="Arial"/>
          <w:sz w:val="17"/>
          <w:szCs w:val="17"/>
          <w:color w:val="auto"/>
        </w:rPr>
        <w:t>, the Company has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that the $911.1 million designated cash flow hedge is perfectly effective.</w:t>
      </w:r>
    </w:p>
    <w:p>
      <w:pPr>
        <w:spacing w:after="0" w:line="15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summarizes the amount and location of the Company’s derivative instruments in the condensed consolidated balance sheets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4940" w:type="dxa"/>
            <w:vAlign w:val="bottom"/>
            <w:tcBorders>
              <w:bottom w:val="single" w:sz="8" w:color="auto"/>
            </w:tcBorders>
            <w:gridSpan w:val="5"/>
          </w:tcPr>
          <w:p>
            <w:pPr>
              <w:ind w:left="1900"/>
              <w:spacing w:after="0"/>
              <w:rPr>
                <w:sz w:val="20"/>
                <w:szCs w:val="20"/>
                <w:color w:val="auto"/>
              </w:rPr>
            </w:pPr>
            <w:r>
              <w:rPr>
                <w:rFonts w:ascii="Arial" w:cs="Arial" w:eastAsia="Arial" w:hAnsi="Arial"/>
                <w:sz w:val="16"/>
                <w:szCs w:val="16"/>
                <w:b w:val="1"/>
                <w:bCs w:val="1"/>
                <w:color w:val="auto"/>
                <w:w w:val="94"/>
              </w:rPr>
              <w:t>Fair value - Derivatives in liability position</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3"/>
              </w:rPr>
              <w:t>September 30, 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162"/>
        </w:trPr>
        <w:tc>
          <w:tcPr>
            <w:tcW w:w="45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30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Accrued expenses and other current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15,229</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212"/>
        </w:trPr>
        <w:tc>
          <w:tcPr>
            <w:tcW w:w="4500" w:type="dxa"/>
            <w:vAlign w:val="bottom"/>
            <w:vMerge w:val="continue"/>
            <w:shd w:val="clear" w:color="auto" w:fill="CCEEFF"/>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vMerge w:val="continue"/>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500" w:type="dxa"/>
            <w:vAlign w:val="bottom"/>
            <w:vMerge w:val="restart"/>
          </w:tcPr>
          <w:p>
            <w:pPr>
              <w:ind w:left="20"/>
              <w:spacing w:after="0"/>
              <w:rPr>
                <w:sz w:val="20"/>
                <w:szCs w:val="20"/>
                <w:color w:val="auto"/>
              </w:rPr>
            </w:pPr>
            <w:r>
              <w:rPr>
                <w:rFonts w:ascii="Arial" w:cs="Arial" w:eastAsia="Arial" w:hAnsi="Arial"/>
                <w:sz w:val="16"/>
                <w:szCs w:val="16"/>
                <w:color w:val="auto"/>
              </w:rPr>
              <w:t>Interest rate swaps not designated as cash flow hedges</w:t>
            </w:r>
          </w:p>
        </w:tc>
        <w:tc>
          <w:tcPr>
            <w:tcW w:w="30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Accrued expenses and other current</w:t>
            </w:r>
          </w:p>
        </w:tc>
        <w:tc>
          <w:tcPr>
            <w:tcW w:w="1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2,117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500" w:type="dxa"/>
            <w:vAlign w:val="bottom"/>
            <w:vMerge w:val="continue"/>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5,920</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Interest rate swaps not designated as cash flow hedges</w:t>
            </w:r>
          </w:p>
        </w:tc>
        <w:tc>
          <w:tcPr>
            <w:tcW w:w="3040" w:type="dxa"/>
            <w:vAlign w:val="bottom"/>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8"/>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29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7,285</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gain and loss associated with the changes in the fair value of the effective portion of the hedging instrument are recorded into other comprehensive (loss) income. The gain and loss associated with the changes in the fair value of the $400.0 million notional swap and the $13.9 million notional amount not designated as a hedging instrument are recognized in net income (loss) through interest expense. The following table presents the pre-tax gains (losses) from derivative instruments recognized in other comprehensive (loss) income in the Company’s unaudited condensed consolidated statements of comprehensive income (loss) (in thousands):</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18"/>
                <w:szCs w:val="18"/>
                <w:color w:val="auto"/>
              </w:rPr>
            </w:pPr>
          </w:p>
        </w:tc>
        <w:tc>
          <w:tcPr>
            <w:tcW w:w="292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1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212"/>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caps designated as cash flow hedges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r>
      <w:tr>
        <w:trPr>
          <w:trHeight w:val="213"/>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(7,883)</w:t>
            </w:r>
          </w:p>
        </w:tc>
      </w:tr>
      <w:tr>
        <w:trPr>
          <w:trHeight w:val="21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that discontinued hedge accounting</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4,022</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(8,281)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(8,034)</w:t>
            </w: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(8,986)</w:t>
            </w: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presents the amount and location of pre-tax income (loss) recognized in the Company’s unaudited condensed consolidated statement of comprehensive income (loss) related to the Company’s derivative instruments (in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90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5"/>
              </w:rPr>
              <w:t>Nine Months Ended September 30,</w:t>
            </w:r>
          </w:p>
        </w:tc>
        <w:tc>
          <w:tcPr>
            <w:tcW w:w="0" w:type="dxa"/>
            <w:vAlign w:val="bottom"/>
          </w:tcPr>
          <w:p>
            <w:pPr>
              <w:spacing w:after="0"/>
              <w:rPr>
                <w:sz w:val="1"/>
                <w:szCs w:val="1"/>
                <w:color w:val="auto"/>
              </w:rPr>
            </w:pPr>
          </w:p>
        </w:tc>
      </w:tr>
      <w:tr>
        <w:trPr>
          <w:trHeight w:val="213"/>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8"/>
                <w:szCs w:val="18"/>
                <w:color w:val="auto"/>
              </w:rPr>
            </w:pPr>
          </w:p>
        </w:tc>
        <w:tc>
          <w:tcPr>
            <w:tcW w:w="23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Income Statement Caption</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62"/>
        </w:trPr>
        <w:tc>
          <w:tcPr>
            <w:tcW w:w="19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w w:val="93"/>
              </w:rPr>
              <w:t>Interest rate caps designated</w:t>
            </w:r>
          </w:p>
        </w:tc>
        <w:tc>
          <w:tcPr>
            <w:tcW w:w="25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gridSpan w:val="2"/>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 cash flow hedges</w:t>
            </w:r>
          </w:p>
        </w:tc>
        <w:tc>
          <w:tcPr>
            <w:tcW w:w="250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Interest rate swaps</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designated as cash flow</w:t>
            </w:r>
          </w:p>
        </w:tc>
        <w:tc>
          <w:tcPr>
            <w:tcW w:w="2500" w:type="dxa"/>
            <w:vAlign w:val="bottom"/>
            <w:gridSpan w:val="2"/>
            <w:vMerge w:val="restart"/>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(4,152)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(8,604)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9"/>
        </w:trPr>
        <w:tc>
          <w:tcPr>
            <w:tcW w:w="1980" w:type="dxa"/>
            <w:vAlign w:val="bottom"/>
            <w:gridSpan w:val="2"/>
          </w:tcPr>
          <w:p>
            <w:pPr>
              <w:ind w:left="20"/>
              <w:spacing w:after="0"/>
              <w:rPr>
                <w:sz w:val="20"/>
                <w:szCs w:val="20"/>
                <w:color w:val="auto"/>
              </w:rPr>
            </w:pPr>
            <w:r>
              <w:rPr>
                <w:rFonts w:ascii="Arial" w:cs="Arial" w:eastAsia="Arial" w:hAnsi="Arial"/>
                <w:sz w:val="16"/>
                <w:szCs w:val="16"/>
                <w:color w:val="auto"/>
              </w:rPr>
              <w:t>hedges</w:t>
            </w:r>
          </w:p>
        </w:tc>
        <w:tc>
          <w:tcPr>
            <w:tcW w:w="25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Interest rate swaps not</w:t>
            </w:r>
          </w:p>
        </w:tc>
        <w:tc>
          <w:tcPr>
            <w:tcW w:w="25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designated as hedges</w:t>
            </w:r>
          </w:p>
        </w:tc>
        <w:tc>
          <w:tcPr>
            <w:tcW w:w="25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Interest rate swaps that</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discontinued hedge</w:t>
            </w:r>
          </w:p>
        </w:tc>
        <w:tc>
          <w:tcPr>
            <w:tcW w:w="2500" w:type="dxa"/>
            <w:vAlign w:val="bottom"/>
            <w:gridSpan w:val="2"/>
            <w:vMerge w:val="restart"/>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4"/>
                <w:szCs w:val="14"/>
                <w:color w:val="auto"/>
              </w:rPr>
            </w:pPr>
          </w:p>
        </w:tc>
        <w:tc>
          <w:tcPr>
            <w:tcW w:w="1400" w:type="dxa"/>
            <w:vAlign w:val="bottom"/>
            <w:gridSpan w:val="2"/>
            <w:vMerge w:val="restart"/>
          </w:tcPr>
          <w:p>
            <w:pPr>
              <w:ind w:left="10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(3,746)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980" w:type="dxa"/>
            <w:vAlign w:val="bottom"/>
            <w:gridSpan w:val="2"/>
          </w:tcPr>
          <w:p>
            <w:pPr>
              <w:ind w:left="20"/>
              <w:spacing w:after="0"/>
              <w:rPr>
                <w:sz w:val="20"/>
                <w:szCs w:val="20"/>
                <w:color w:val="auto"/>
              </w:rPr>
            </w:pPr>
            <w:r>
              <w:rPr>
                <w:rFonts w:ascii="Arial" w:cs="Arial" w:eastAsia="Arial" w:hAnsi="Arial"/>
                <w:sz w:val="16"/>
                <w:szCs w:val="16"/>
                <w:color w:val="auto"/>
              </w:rPr>
              <w:t>accounting</w:t>
            </w:r>
          </w:p>
        </w:tc>
        <w:tc>
          <w:tcPr>
            <w:tcW w:w="25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expects to reclassify $13.9 million of total interest rate costs from accumulated other comprehensive loss against interest expense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02"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08" w:lineRule="exact"/>
        <w:rPr>
          <w:sz w:val="20"/>
          <w:szCs w:val="20"/>
          <w:color w:val="auto"/>
        </w:rPr>
      </w:pPr>
    </w:p>
    <w:p>
      <w:pPr>
        <w:ind w:left="900" w:hanging="16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Inputs to the fair value measurement are quoted prices in active markets for identical assets or liabilities.</w:t>
      </w:r>
    </w:p>
    <w:p>
      <w:pPr>
        <w:spacing w:after="0" w:line="23" w:lineRule="exact"/>
        <w:rPr>
          <w:rFonts w:ascii="Arial" w:cs="Arial" w:eastAsia="Arial" w:hAnsi="Arial"/>
          <w:sz w:val="18"/>
          <w:szCs w:val="18"/>
          <w:color w:val="auto"/>
        </w:rPr>
      </w:pPr>
    </w:p>
    <w:p>
      <w:pPr>
        <w:ind w:left="900" w:right="360" w:hanging="163"/>
        <w:spacing w:after="0" w:line="250"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Arial" w:cs="Arial" w:eastAsia="Arial" w:hAnsi="Arial"/>
          <w:sz w:val="18"/>
          <w:szCs w:val="18"/>
          <w:color w:val="auto"/>
        </w:rPr>
      </w:pPr>
    </w:p>
    <w:p>
      <w:pPr>
        <w:ind w:left="900" w:hanging="16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Inputs to the fair value measurement are unobservable inputs or valuation techniques.</w:t>
      </w:r>
    </w:p>
    <w:p>
      <w:pPr>
        <w:spacing w:after="0" w:line="170"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9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First lien term loan</w:t>
      </w:r>
      <w:r>
        <w:rPr>
          <w:rFonts w:ascii="Arial" w:cs="Arial" w:eastAsia="Arial" w:hAnsi="Arial"/>
          <w:sz w:val="18"/>
          <w:szCs w:val="18"/>
          <w:color w:val="auto"/>
        </w:rPr>
        <w:t>: The fair value of the first lien term loan is derived from a broker quote on the loans in the syndication (Level 2 inputs). See Note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10,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of the carrying amount and fair value of the first lien term loan.</w:t>
      </w:r>
    </w:p>
    <w:p>
      <w:pPr>
        <w:spacing w:after="0" w:line="130" w:lineRule="exact"/>
        <w:rPr>
          <w:sz w:val="20"/>
          <w:szCs w:val="20"/>
          <w:color w:val="auto"/>
        </w:rPr>
      </w:pPr>
    </w:p>
    <w:p>
      <w:pPr>
        <w:jc w:val="both"/>
        <w:ind w:right="280" w:firstLine="324"/>
        <w:spacing w:after="0" w:line="308" w:lineRule="auto"/>
        <w:rPr>
          <w:sz w:val="20"/>
          <w:szCs w:val="20"/>
          <w:color w:val="auto"/>
        </w:rPr>
      </w:pPr>
      <w:r>
        <w:rPr>
          <w:rFonts w:ascii="Arial" w:cs="Arial" w:eastAsia="Arial" w:hAnsi="Arial"/>
          <w:sz w:val="17"/>
          <w:szCs w:val="17"/>
          <w:i w:val="1"/>
          <w:iCs w:val="1"/>
          <w:color w:val="auto"/>
        </w:rPr>
        <w:t>Second lien notes</w:t>
      </w:r>
      <w:r>
        <w:rPr>
          <w:rFonts w:ascii="Arial" w:cs="Arial" w:eastAsia="Arial" w:hAnsi="Arial"/>
          <w:sz w:val="17"/>
          <w:szCs w:val="17"/>
          <w:color w:val="auto"/>
        </w:rPr>
        <w:t>: The fair value of the second lien notes is derived from a cash flow model that discounted the cash flows based on market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rates (Level 3 inputs). See Note 10,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of the carrying amount and fair value of the second lien notes.</w:t>
      </w:r>
    </w:p>
    <w:p>
      <w:pPr>
        <w:spacing w:after="0" w:line="106"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i w:val="1"/>
          <w:iCs w:val="1"/>
          <w:color w:val="auto"/>
        </w:rPr>
        <w:t>Interest rate swaps</w:t>
      </w:r>
      <w:r>
        <w:rPr>
          <w:rFonts w:ascii="Arial" w:cs="Arial" w:eastAsia="Arial" w:hAnsi="Arial"/>
          <w:sz w:val="18"/>
          <w:szCs w:val="18"/>
          <w:color w:val="auto"/>
        </w:rPr>
        <w:t>: The fair values of interest rate swaps are derived from the interest rates prevalent in the market and future expectations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rates (Level 2 inputs). The Company determines the fair value of the investments based on quoted prices from third-party brokers. See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 of the fair value of interest rate swaps.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 assets or liabilities measured at fair value at September 30, 2020 and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condensed consolidated balance sheets. 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INCENTIVE COMPENSATION</w:t>
      </w:r>
    </w:p>
    <w:p>
      <w:pPr>
        <w:spacing w:after="0" w:line="198"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b w:val="1"/>
          <w:bCs w:val="1"/>
          <w:color w:val="auto"/>
        </w:rPr>
        <w:t xml:space="preserve">Equity Incentive Plans </w:t>
      </w:r>
      <w:r>
        <w:rPr>
          <w:rFonts w:ascii="Arial" w:cs="Arial" w:eastAsia="Arial" w:hAnsi="Arial"/>
          <w:sz w:val="16"/>
          <w:szCs w:val="16"/>
          <w:color w:val="auto"/>
        </w:rPr>
        <w:t>— Under the Company’s 2018 Equity Incentive Plan (the “2018 Plan”), approved at the annual meeting by the BioScrip</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on May 3, 2018,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Board of Directors. A total of 4,101,735 shares of common stock were initially authorized for issuance under the 2018 Plan. The Company had stock options and restricted stock outstanding related to the 2018 Plan as of September 30, 2020. As of September 30, 2020, the Company also had incentive units outstanding related to the HC I equity incentive plan, which was implemented in October 2015, for certain officers and employees of the Company. During the three and nine months ended September 30, 2020, total stock-based incentive compensation expense recognized by the Company related to these plans was $1.2 million and $2.6 million, respectively. During the three and nine months ended September 30, 2019, total stock-based incentive compensation expense recognized by the Company related to these plans was $2.7 million and $3.9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189"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 xml:space="preserve">On January 3, 2020, the Company’s board of directors and HC I, the stockholder of a majority of the Company’s common stock, approved a reverse stock split of the Company’s issued and outstanding common stock on a one share for four share basis and appropriately amended the Company’s Third Amended and Restated Certificate of Incorporation to reflect the change. On February 3, 2020, the reverse stock split became effective. In connection with the reverse stock split, the Company changed its ticker symbol from “BIOS” to “OPCH” and transferred the Company’s common stock from the Nasdaq Capital Market to the Nasdaq Global Select Market. The par value of the Company’s common stock remained unchanged as a result of the reverse stock split, resulting in a decrease to the aggregate par value of common stock and corresponding increase to paid-in capital in the Company’s unaudited condensed consolidated financial statements, which was retrospectively applied to all periods presented in the unaudited condensed consolidated financial statements. All common shares, warrants and stock awards presented in the unaudited condensed consolidated financial statements have been retrospectively adjusted for the reverse stock split. During the three months ended September 30, 2020, the Company completed a public offering of 20,700,000 shares of the Company’s common stock at a price of $12.50 per share, consisting of 10,000,000 shares of common stock issued and sold by the Company and 10,700,000 shares of common stock sold by HC I. Following the public offering, HC I holds approximately 70.6% of the common stock of the Company. The Company received net proceeds from the offering of $118.9 million, after deducting underwriting discounts and commissions and estimated offering expenses payable by the Company. The Company used the proceeds from the offering, along with additional cash on hand, to repay $125.0 million on the principal balance of its second lien notes outstanding. See Note 10,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of the repayment of the second lien note.</w:t>
      </w:r>
    </w:p>
    <w:p>
      <w:pPr>
        <w:spacing w:after="0" w:line="151"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b w:val="1"/>
          <w:bCs w:val="1"/>
          <w:color w:val="auto"/>
        </w:rPr>
        <w:t xml:space="preserve">2017 Warrants </w:t>
      </w:r>
      <w:r>
        <w:rPr>
          <w:rFonts w:ascii="Arial" w:cs="Arial" w:eastAsia="Arial" w:hAnsi="Arial"/>
          <w:sz w:val="18"/>
          <w:szCs w:val="18"/>
          <w:color w:val="auto"/>
        </w:rPr>
        <w:t>— During the three and nine months ended September 30, 2020, warrant holders did not elect to exercise any warrants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During the three and nine months ended September 30, 2019, warrant holders did not elect to exercise any warrants to purchase shares of common stock. No warrants existed in 2019 prior to the Merger. As of September 30, 2020 and December 31, 2019, the remaining warrant holders are entitled to purchase 1.4 million shares of common stock, respectively.</w:t>
      </w:r>
    </w:p>
    <w:p>
      <w:pPr>
        <w:spacing w:after="0" w:line="139"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b w:val="1"/>
          <w:bCs w:val="1"/>
          <w:color w:val="auto"/>
        </w:rPr>
        <w:t xml:space="preserve">2015 Warrants </w:t>
      </w:r>
      <w:r>
        <w:rPr>
          <w:rFonts w:ascii="Arial" w:cs="Arial" w:eastAsia="Arial" w:hAnsi="Arial"/>
          <w:sz w:val="18"/>
          <w:szCs w:val="18"/>
          <w:color w:val="auto"/>
        </w:rPr>
        <w:t>— During the three and nine months ended September 30, 2020, warrant holders did not elect to exercise any warrants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During the three and nine months ended September 30, 2019, warrant holders did not elect to exercise any warrants to purchase shares of common stock. No warrants existed in 2019 prior to the Merger. As of September 30, 2020 and December 31, 2019, warrant holders are entitled to purchase 0.9 million shares of common stock, respectively.</w:t>
      </w:r>
    </w:p>
    <w:p>
      <w:pPr>
        <w:spacing w:after="0" w:line="13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color w:val="auto"/>
        </w:rPr>
        <w:t xml:space="preserve">Home Solutions Restricted Stock </w:t>
      </w:r>
      <w:r>
        <w:rPr>
          <w:rFonts w:ascii="Arial" w:cs="Arial" w:eastAsia="Arial" w:hAnsi="Arial"/>
          <w:sz w:val="17"/>
          <w:szCs w:val="17"/>
          <w:color w:val="auto"/>
        </w:rPr>
        <w:t>— In conjunction with BioScrip’s 2016 acquisition of Home Solutions, Inc., 1.8 million restricted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common stock were issued, of which 0.8 million of these units vest upon the closing price of the Company’s common stock averaging at or above $16.00 per share over 20 consecutive trading days prior to December 31, 2019 and 1.0 million of these units vest upon the closing price of the Company’s common stock averaging at or above $20.00 per share over 20 consecutive trading days prior to December 31, 2019. The restricted stock expired on December 31, 2019. As discussed in Note 1, </w:t>
      </w:r>
      <w:r>
        <w:rPr>
          <w:rFonts w:ascii="Arial" w:cs="Arial" w:eastAsia="Arial" w:hAnsi="Arial"/>
          <w:sz w:val="17"/>
          <w:szCs w:val="17"/>
          <w:i w:val="1"/>
          <w:iCs w:val="1"/>
          <w:color w:val="auto"/>
        </w:rPr>
        <w:t>Nature of Operations and Presentation of Financial Statements</w:t>
      </w:r>
      <w:r>
        <w:rPr>
          <w:rFonts w:ascii="Arial" w:cs="Arial" w:eastAsia="Arial" w:hAnsi="Arial"/>
          <w:sz w:val="17"/>
          <w:szCs w:val="17"/>
          <w:color w:val="auto"/>
        </w:rPr>
        <w:t>, 7,048,357 common shares issued to HC I in conjunction with the Merger are held in escrow to prevent dilution related to the vesting of the Home Solutions restricted stock. In the event the Home Solutions restricted stock expires unvested, the 7,048,357 common shares held in escrow will be returned to the Company and canceled. As of September 30, 2020, the Home Solutions restricted stock remained in escrow pending final resolution of this matter.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9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7"/>
          <w:szCs w:val="17"/>
          <w:b w:val="1"/>
          <w:bCs w:val="1"/>
          <w:color w:val="auto"/>
        </w:rPr>
        <w:t xml:space="preserve">Transactions with Equity-Method Investees </w:t>
      </w:r>
      <w:r>
        <w:rPr>
          <w:rFonts w:ascii="Arial" w:cs="Arial" w:eastAsia="Arial" w:hAnsi="Arial"/>
          <w:sz w:val="17"/>
          <w:szCs w:val="17"/>
          <w:color w:val="auto"/>
        </w:rPr>
        <w:t>— The Company provides management services to its joint ventures such as accounting, invoicing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collections in addition to day-to-day managerial support of the operations of the businesses. The Company recorded management fee income of $0.8 million and $2.1 million for the three and nine months ended September 30, 2020, respectively. The Company recorded management fee income of $0.6 million and $1.8 million for the three and nine months ended September 30, 2019, respectively. Management fees are recorded in net revenues in the accompanying unaudited condensed consolidated statements of comprehensive income (loss).</w:t>
      </w:r>
    </w:p>
    <w:p>
      <w:pPr>
        <w:spacing w:after="0" w:line="13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had amounts due from its joint ventures of $1.8 million as of September 30, 2020. This receivable was included in prepaid expenses and other current assets in the accompanying condensed consolidated balance sheets. The Company also had amounts due to its joint ventures of $4.3 million as of December 31, 2019. This payable was included in accrued expenses and other current liabilities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whether any subsequent events occurred since September 30, 2020, and noted the following subsequent event:</w:t>
      </w:r>
    </w:p>
    <w:p>
      <w:pPr>
        <w:spacing w:after="0" w:line="19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October 2020, the Company increased the borrowing capacity of its ABL facility from $150.0 million to $175.0 million, with net borrowings available of $165.4 million due to the Company’s $9.6 million of undrawn letters of credit issued and outstanding. In conjunction with the increase in borrowing capacity, the terms of the ABL facility were amended to call for monthly interest payments to be charged at the greater of 0.25% or LIBOR, plus 1.25% to 1.75%, depending on the historical excess availability as a percentage of the line cap, as defined in the ABL facility agreement. No other terms of the ABL facility were amended. The Company incurred bank and legal fees of approximately $0.1 million, which will be capitalized and amortized over the remaining term of the ABL facility.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i w:val="1"/>
          <w:iCs w:val="1"/>
          <w:color w:val="auto"/>
        </w:rPr>
        <w:t>Unless the context requires otherwise, references in this report to "Option Care Health," the “Company,” “we,” “us” and “our” refer to Option Care Health, Inc. and its consolidated subsidiaries. The following discussion and analysis of the financial condition and results of operations of Option Care Health, Inc. (“Option Care Health”, or the “Company”) should be read in conjunction with the audited consolidated financial statements and related notes, as presented in the Annual Report on Form 10-K filed with the Securities and Exchange Commission on March 5, 2020, as well as the Company’s unaudited condensed consolidated financial statements and the related notes thereto included elsewhere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This Quarterly Report on Form 10-Q (this “Quarterly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and similar expressions. Such forward-looking statements include, but are not limited to, the effect of the novel coronavirus (“COVID-19”) on our business, financial condition and results of operations. This Quarterly Report contains, among others, forward-looking statements based upon current expectations that involve numerous risks and uncertainties, including those described in Item 1A “Risk Factors”.</w:t>
      </w:r>
    </w:p>
    <w:p>
      <w:pPr>
        <w:spacing w:after="0" w:line="138"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0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Do not place undue reliance on such forward-looking statements as they speak only as of the date they are made. Except as required by law, the Company assumes no obligation to publicly update or revise any forward-looking statement even if experience or future changes make it clear that any projected results expressed or implied therein will not be realized.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146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5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14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 xml:space="preserve">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and the combined company’s stock, par value $0.0001, was listed on the Nasdaq Global Select Market as of September 30, 2020. See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of the unaudited condensed consolidated financial statements for further discussion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202"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primary operations of the Company focus on providing infusion therapy services and based on the recent impact of the pandemic across the healthcare ecosystem, the Company began experiencing a related impact across a number of facets beginning in March 2020.</w:t>
      </w:r>
    </w:p>
    <w:p>
      <w:pPr>
        <w:spacing w:after="0" w:line="10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third quarter of 2020 results reflect the Company’s continued efforts to accelerate growth and drive merger-related cost savings offset by the detrimental impact of the COVID-19 pandemic. The Company relies upon patient referrals from multiple sources, including but not limited to patients discharged from acute care settings (e.g., hospitals) and patients requiring treatment for chronic conditions from specialty physicians. As expected, the pandemic has negatively affected new patient referrals for both acute and chronic conditions; however, the Company did experience an increase in patient transfers from hospital and outpatient settings which positively affected revenues. For the third quarter of 2020, the revenue results reflect flat acute revenues relative to the prior year while chronic revenue grew in the mid teens. Option Care Health continues to collaborate with payers and health systems to transition patients into the home or one of our alternate treatment sites to receive vital infusion therapy.</w:t>
      </w:r>
    </w:p>
    <w:p>
      <w:pPr>
        <w:spacing w:after="0" w:line="13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Company’s operations involve the compounding of therapeutic drugs in sterile cleanroom facilities by pharmacists and pharmacy technicians, the transportation of such drugs to the patients’ home or alternate infusion treatment site and the administration of the drug by a licensed healthcare professional. Due to personal disruption experienced by employees of the Company, the ability to efficiently resource the compounding, delivery and administration of therapies has been negatively impacted given staffing challenges and availability. This has resulted in higher wage costs in the form of overtime expenditures, migration of clinical resources to additional markets and utilization of contract labor resources. In addition to direct labor investments, the Company has experienced similar impacts on the indirect support functions, as employees have generally migrated to a virtual, remote establishment.</w:t>
      </w:r>
    </w:p>
    <w:p>
      <w:pPr>
        <w:spacing w:after="0" w:line="168"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 delivering infusion therapy, the Company’s clinical personnel regularly utilize personal protection equipment (“PPE”) and ancillary medical supplies as dictated by the Company’s clinical protocols. Based on the increased demand for PPE, the Company has experienced challenges in procuring necessary PPE to ensure the safety of its personnel and the patients served in the form of higher costs for PPE as well as increased effort and resources dedicated to procurement activities. To date, the Company has maintained adequate levels of PPE to support its operations, albeit at higher procurement costs.</w:t>
      </w:r>
    </w:p>
    <w:p>
      <w:pPr>
        <w:spacing w:after="0" w:line="14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Company experienced cost inefficiencies in the third quarter with respect to clinical labor and other staffing challenges, as well as higher costs to procure personal protection equipment. Offsetting the negative impacts resulting from the COVID-19 pandemic, the Company managed spending and accelerated many integration-related initiatives as discussed below. Further, to date, the Company experienced no material deceleration in cash collections and collaboration with payers continues to be productive. The Company anticipates that the pandemic could affect its operations for an extended period; however, at this time cannot confidently forecast the duration nor the ultimate financial impact on its operations. See Item 1A. “Risk Factors” under the caption “The COVID-19 pandemic could adversely impact our business, results of operations, cash flows and financial position” for further discussion of risks.</w:t>
      </w:r>
    </w:p>
    <w:p>
      <w:pPr>
        <w:spacing w:after="0" w:line="15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 April 2020, the Company received approximately $11.7 million from the Public Health and Social Services Emergency Fund as part of the Coronavirus Aid, Relief, and Economics Security Act (“CARES Act”). The $11.7 million was reflected in the second quarter 2020 as a cash inflow from financing activities. Given the Company’s ability to largely offset the cost inefficiencies experienced from the COVID-19 pandemic with spending reductions and accelerated integration net cost synergies, the Company returned these CARES Act funds to the federal government during the third quarter of 2020. This was reflected as a cash outflow from financing activities during the third quarter of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Integration Execution</w:t>
      </w:r>
    </w:p>
    <w:p>
      <w:pPr>
        <w:spacing w:after="0" w:line="202"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Merger of Option Care and BioScrip into Option Care Health has created an opportunity to realize cost synergies while continuing to drive organic growth in chronic and acute therapies through our expanded national platform. Option Care Health is well-positioned to leverage the investments in corporate infrastructure and drive economies of scale as a result of the Merger. The synergy categories are as follows:</w:t>
      </w:r>
    </w:p>
    <w:p>
      <w:pPr>
        <w:spacing w:after="0" w:line="125" w:lineRule="exact"/>
        <w:rPr>
          <w:sz w:val="20"/>
          <w:szCs w:val="20"/>
          <w:color w:val="auto"/>
        </w:rPr>
      </w:pPr>
    </w:p>
    <w:p>
      <w:pPr>
        <w:ind w:left="1300" w:right="820" w:hanging="320"/>
        <w:spacing w:after="0" w:line="258"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Selling, General and Administrative Expenses Savings. Merged corporate infrastructure has created significant opportunity for streamlining corporate and administrative costs, including headcount and functional spend.</w:t>
      </w:r>
    </w:p>
    <w:p>
      <w:pPr>
        <w:spacing w:after="0" w:line="1" w:lineRule="exact"/>
        <w:rPr>
          <w:rFonts w:ascii="Arial" w:cs="Arial" w:eastAsia="Arial" w:hAnsi="Arial"/>
          <w:sz w:val="18"/>
          <w:szCs w:val="18"/>
          <w:color w:val="auto"/>
        </w:rPr>
      </w:pPr>
    </w:p>
    <w:p>
      <w:pPr>
        <w:ind w:left="1300" w:right="280" w:hanging="320"/>
        <w:spacing w:after="0" w:line="250"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Network Optimization. The previous investments in technology and compounding pharmacies, along with the overlapping geographic footprint, allows for facility rationalization and the optimization of assets.</w:t>
      </w:r>
    </w:p>
    <w:p>
      <w:pPr>
        <w:ind w:left="1300" w:right="160" w:hanging="320"/>
        <w:spacing w:after="0" w:line="255"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Procurement Savings. The enhanced scale of the Company generates supply chain efficiencies through increased purchasing leverage. The Company’s platform is also positioned to be the partner of choice for pharmaceutical manufacturers seeking innovative distribution channels and patient support models to access the market.</w:t>
      </w:r>
    </w:p>
    <w:p>
      <w:pPr>
        <w:spacing w:after="0" w:line="14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Since the Merger, we have worked to align our field and sales teams. We have also made strides at combining our procurement process and contracts, all while continuing to focus on serving our patients. Patient health is personal to us, which is why, throughout the integration process, we strive to improve and set the standard for quality care that is matched by best-in-class service. After completion of the Merger, we have additional resources to invest in our people, process and systems, providing us improved strength and scale to drive better patient outcomes. The Company accelerated its integration activities during the second quarter of 2020 to offset the negative impacts resulting from COVID-19 pandemic, and as a result we fully achieved the articulated goal of at least $60.0 million in net cost synergies. We continue to pursue further integration efforts, and ultimately expect to exceed the net cost synergy goal.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Option Care merged with BioScrip on August 6, 2019. BioScrip was a national provider of infusion and home care management, who partnered with physicians, hospital systems, payers, pharmaceutical manufacturers and skilled nursing facilities to provide patients access to post-acute care services. The fair value of purchase consideration transferred, net of cash acquired, on the closing date of $1,087.2 million includes the value of the number of shares of the combined company to be owned by BioScrip shareholders at closing of the Merger, the value of common shares to be issued to certain warrant and preferred shareholders in conjunction with the Merger, the value of stock-based instruments that were vested or earned as of the Merger, and cash payments made in conjunction with the Merger. For additional information on this transaction, see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Results of Operations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results of operations include the accounts of Option Care Health and our subsidiaries for the three and nine months ended September 30, 2020 and 2019. The BioScrip results have been included since the August 6, 2019 Merger Date.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 represents our net revenue less cost of revenue.</w:t>
      </w:r>
    </w:p>
    <w:p>
      <w:pPr>
        <w:spacing w:after="0" w:line="19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Infusion and related health care services revenue is reported at the estimated net realizable amounts from third-party payers and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43"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the actual cost of pharmaceuticals and other medical supplies dispensed to patients. In addition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60"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8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that directly and indirectly support the operations, occupancy costs, marketing expenditures, insurance, and professional fees.</w:t>
      </w:r>
    </w:p>
    <w:p>
      <w:pPr>
        <w:spacing w:after="0" w:line="11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i w:val="1"/>
          <w:iCs w:val="1"/>
          <w:color w:val="auto"/>
        </w:rPr>
        <w:t xml:space="preserve">Depreciation and Amortization Expense. </w:t>
      </w:r>
      <w:r>
        <w:rPr>
          <w:rFonts w:ascii="Arial" w:cs="Arial" w:eastAsia="Arial" w:hAnsi="Arial"/>
          <w:sz w:val="17"/>
          <w:szCs w:val="17"/>
          <w:color w:val="auto"/>
        </w:rPr>
        <w:t>Depreciation within this caption includes infrastructure items such as computer hardware and software, office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leasehold improvements. Depreciation of revenue-generating assets, such as infusion pumps, is included in cost of revenue.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consists principally of interest payments on the Company’s outstanding borrowings under the ABL Facility,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lien term loan and second lien notes, amortization of discount and deferred financing fees, and changes in derivatives not designated as hedging instruments related to the interest rate swaps. Refer to the “Liquidity and Capital Resources” section below for further discussion of these outstanding borrowings.</w:t>
      </w:r>
    </w:p>
    <w:p>
      <w:pPr>
        <w:spacing w:after="0" w:line="16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Equity in Earnings of Joint Ventures</w:t>
      </w:r>
      <w:r>
        <w:rPr>
          <w:rFonts w:ascii="Arial" w:cs="Arial" w:eastAsia="Arial" w:hAnsi="Arial"/>
          <w:sz w:val="18"/>
          <w:szCs w:val="18"/>
          <w:color w:val="auto"/>
        </w:rPr>
        <w:t>. Equity in earnings of joint ventures consists of our proportionate share of equity earnings or losses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two infusion joint ventures with health systems.</w:t>
      </w:r>
    </w:p>
    <w:p>
      <w:pPr>
        <w:spacing w:after="0" w:line="13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income (expense) primarily includes miscellaneous non-operating expenses and third-party fees paid in conjunction with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issuances and debt extinguishments, as they occur.</w:t>
      </w:r>
    </w:p>
    <w:p>
      <w:pPr>
        <w:spacing w:after="0" w:line="13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The Company is subject to taxation in the United States and various states. The Company’s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is reflective of the current federal and state tax rates.</w:t>
      </w:r>
    </w:p>
    <w:p>
      <w:pPr>
        <w:spacing w:after="0" w:line="14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i w:val="1"/>
          <w:iCs w:val="1"/>
          <w:color w:val="auto"/>
        </w:rPr>
        <w:t>Change in unrealized gains (losses) on cash flow hedges, net of income taxe expense (benefit)</w:t>
      </w:r>
      <w:r>
        <w:rPr>
          <w:rFonts w:ascii="Arial" w:cs="Arial" w:eastAsia="Arial" w:hAnsi="Arial"/>
          <w:sz w:val="18"/>
          <w:szCs w:val="18"/>
          <w:color w:val="auto"/>
        </w:rPr>
        <w:t>. Change in unrealized gains (losses) on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hedges, net of income taxes, consists of the gains and losses associated with the changes in the fair value of derivatives designated as hedging instruments related to the interest rate caps and interest rate swaps, net of income taxes.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presents Option Care Health’s consolidated results of operations for the three and nine months ended September 30, 2020 and 2019 (in thousands):</w:t>
      </w:r>
    </w:p>
    <w:p>
      <w:pPr>
        <w:spacing w:after="0" w:line="184"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60" w:type="dxa"/>
            <w:vAlign w:val="bottom"/>
            <w:gridSpan w:val="9"/>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60" w:type="dxa"/>
            <w:vAlign w:val="bottom"/>
            <w:gridSpan w:val="7"/>
          </w:tcPr>
          <w:p>
            <w:pPr>
              <w:jc w:val="right"/>
              <w:ind w:right="939"/>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2020 (unaudited)</w:t>
            </w:r>
          </w:p>
        </w:tc>
        <w:tc>
          <w:tcPr>
            <w:tcW w:w="14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2019 (unaudited)</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2020 (unaudited)</w:t>
            </w:r>
          </w:p>
        </w:tc>
        <w:tc>
          <w:tcPr>
            <w:tcW w:w="1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2019 (unaudited)</w:t>
            </w:r>
          </w:p>
        </w:tc>
        <w:tc>
          <w:tcPr>
            <w:tcW w:w="0" w:type="dxa"/>
            <w:vAlign w:val="bottom"/>
          </w:tcPr>
          <w:p>
            <w:pPr>
              <w:spacing w:after="0"/>
              <w:rPr>
                <w:sz w:val="1"/>
                <w:szCs w:val="1"/>
                <w:color w:val="auto"/>
              </w:rPr>
            </w:pPr>
          </w:p>
        </w:tc>
      </w:tr>
      <w:tr>
        <w:trPr>
          <w:trHeight w:val="210"/>
        </w:trPr>
        <w:tc>
          <w:tcPr>
            <w:tcW w:w="2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of Revenue</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of 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 of Revenue</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of Revenue</w:t>
            </w: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781,609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615,880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2,227,897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1,589,638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3"/>
        </w:trPr>
        <w:tc>
          <w:tcPr>
            <w:tcW w:w="2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607,456</w:t>
            </w:r>
          </w:p>
        </w:tc>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77.7 %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478,107</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77.6 %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1,729,395</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77.6 %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1,252,281</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78.8 %</w:t>
            </w:r>
          </w:p>
        </w:tc>
        <w:tc>
          <w:tcPr>
            <w:tcW w:w="0" w:type="dxa"/>
            <w:vAlign w:val="bottom"/>
          </w:tcPr>
          <w:p>
            <w:pPr>
              <w:spacing w:after="0"/>
              <w:rPr>
                <w:sz w:val="1"/>
                <w:szCs w:val="1"/>
                <w:color w:val="auto"/>
              </w:rPr>
            </w:pPr>
          </w:p>
        </w:tc>
      </w:tr>
      <w:tr>
        <w:trPr>
          <w:trHeight w:val="213"/>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174,153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137,773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498,502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337,357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21.2 %</w:t>
            </w:r>
          </w:p>
        </w:tc>
        <w:tc>
          <w:tcPr>
            <w:tcW w:w="0" w:type="dxa"/>
            <w:vAlign w:val="bottom"/>
          </w:tcPr>
          <w:p>
            <w:pPr>
              <w:spacing w:after="0"/>
              <w:rPr>
                <w:sz w:val="1"/>
                <w:szCs w:val="1"/>
                <w:color w:val="auto"/>
              </w:rPr>
            </w:pPr>
          </w:p>
        </w:tc>
      </w:tr>
      <w:tr>
        <w:trPr>
          <w:trHeight w:val="256"/>
        </w:trPr>
        <w:tc>
          <w:tcPr>
            <w:tcW w:w="2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18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OPERATING COSTS AND</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80" w:type="dxa"/>
            <w:vAlign w:val="bottom"/>
          </w:tcPr>
          <w:p>
            <w:pPr>
              <w:ind w:left="120"/>
              <w:spacing w:after="0" w:line="166" w:lineRule="exact"/>
              <w:rPr>
                <w:sz w:val="20"/>
                <w:szCs w:val="20"/>
                <w:color w:val="auto"/>
              </w:rPr>
            </w:pPr>
            <w:r>
              <w:rPr>
                <w:rFonts w:ascii="Arial" w:cs="Arial" w:eastAsia="Arial" w:hAnsi="Arial"/>
                <w:sz w:val="16"/>
                <w:szCs w:val="16"/>
                <w:color w:val="auto"/>
              </w:rPr>
              <w:t>Selling, general and</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123,000</w:t>
            </w:r>
          </w:p>
        </w:tc>
        <w:tc>
          <w:tcPr>
            <w:tcW w:w="1220" w:type="dxa"/>
            <w:vAlign w:val="bottom"/>
            <w:gridSpan w:val="3"/>
            <w:vMerge w:val="restart"/>
          </w:tcPr>
          <w:p>
            <w:pPr>
              <w:jc w:val="right"/>
              <w:spacing w:after="0"/>
              <w:rPr>
                <w:sz w:val="20"/>
                <w:szCs w:val="20"/>
                <w:color w:val="auto"/>
              </w:rPr>
            </w:pPr>
            <w:r>
              <w:rPr>
                <w:rFonts w:ascii="Arial" w:cs="Arial" w:eastAsia="Arial" w:hAnsi="Arial"/>
                <w:sz w:val="16"/>
                <w:szCs w:val="16"/>
                <w:color w:val="auto"/>
              </w:rPr>
              <w:t>15.7 %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133,475</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21.7 %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377,198</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16.9 %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315,815</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19.9 %</w:t>
            </w:r>
          </w:p>
        </w:tc>
        <w:tc>
          <w:tcPr>
            <w:tcW w:w="0" w:type="dxa"/>
            <w:vAlign w:val="bottom"/>
          </w:tcPr>
          <w:p>
            <w:pPr>
              <w:spacing w:after="0"/>
              <w:rPr>
                <w:sz w:val="1"/>
                <w:szCs w:val="1"/>
                <w:color w:val="auto"/>
              </w:rPr>
            </w:pPr>
          </w:p>
        </w:tc>
      </w:tr>
      <w:tr>
        <w:trPr>
          <w:trHeight w:val="209"/>
        </w:trPr>
        <w:tc>
          <w:tcPr>
            <w:tcW w:w="2180" w:type="dxa"/>
            <w:vAlign w:val="bottom"/>
          </w:tcPr>
          <w:p>
            <w:pPr>
              <w:ind w:left="120"/>
              <w:spacing w:after="0"/>
              <w:rPr>
                <w:sz w:val="20"/>
                <w:szCs w:val="20"/>
                <w:color w:val="auto"/>
              </w:rPr>
            </w:pPr>
            <w:r>
              <w:rPr>
                <w:rFonts w:ascii="Arial" w:cs="Arial" w:eastAsia="Arial" w:hAnsi="Arial"/>
                <w:sz w:val="16"/>
                <w:szCs w:val="16"/>
                <w:color w:val="auto"/>
              </w:rPr>
              <w:t>administrative expenses</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1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5"/>
              </w:rPr>
              <w:t>Depreciation and amortization</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16,597</w:t>
            </w:r>
          </w:p>
        </w:tc>
        <w:tc>
          <w:tcPr>
            <w:tcW w:w="20" w:type="dxa"/>
            <w:vAlign w:val="bottom"/>
            <w:vMerge w:val="restart"/>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16,023</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54,892</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36,142</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139,597</w:t>
            </w: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17.9 %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149,498</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24.3 %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432,090</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19.4 %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351,957</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22.1 %</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w w:val="97"/>
              </w:rPr>
              <w:t>OPERATING INCOME (LOSS)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34,556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66,412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18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rPr>
              <w:t>OTHER INCOME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(24,583)</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(21,509)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(84,102)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(44,117)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69"/>
        </w:trPr>
        <w:tc>
          <w:tcPr>
            <w:tcW w:w="21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Equity in earnings of joint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ventures</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(8,344)</w:t>
            </w:r>
          </w:p>
        </w:tc>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(6,810)</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(8,322)</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(6,679)</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expense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(32,137)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0"/>
        </w:trPr>
        <w:tc>
          <w:tcPr>
            <w:tcW w:w="2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18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INCOME (LOSS) BEFORE</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(39,218)</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(23,648)</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(63,378)</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INCOME TAXES</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80" w:type="dxa"/>
            <w:vAlign w:val="bottom"/>
          </w:tcPr>
          <w:p>
            <w:pPr>
              <w:spacing w:after="0" w:line="166" w:lineRule="exact"/>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756</w:t>
            </w:r>
          </w:p>
        </w:tc>
        <w:tc>
          <w:tcPr>
            <w:tcW w:w="20" w:type="dxa"/>
            <w:vAlign w:val="bottom"/>
            <w:vMerge w:val="restart"/>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3,576</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2,267</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(3,269)</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(BENEFIT)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18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OTHER COMPREHENSIVE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INCOME (LOSS), NET OF</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TAX:</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80" w:type="dxa"/>
            <w:vAlign w:val="bottom"/>
          </w:tcPr>
          <w:p>
            <w:pPr>
              <w:ind w:left="120"/>
              <w:spacing w:after="0" w:line="166" w:lineRule="exact"/>
              <w:rPr>
                <w:sz w:val="20"/>
                <w:szCs w:val="20"/>
                <w:color w:val="auto"/>
              </w:rPr>
            </w:pPr>
            <w:r>
              <w:rPr>
                <w:rFonts w:ascii="Arial" w:cs="Arial" w:eastAsia="Arial" w:hAnsi="Arial"/>
                <w:sz w:val="16"/>
                <w:szCs w:val="16"/>
                <w:color w:val="auto"/>
              </w:rPr>
              <w:t>Change in unrealized gains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120"/>
              <w:spacing w:after="0" w:line="162" w:lineRule="exact"/>
              <w:rPr>
                <w:sz w:val="20"/>
                <w:szCs w:val="20"/>
                <w:color w:val="auto"/>
              </w:rPr>
            </w:pPr>
            <w:r>
              <w:rPr>
                <w:rFonts w:ascii="Arial" w:cs="Arial" w:eastAsia="Arial" w:hAnsi="Arial"/>
                <w:sz w:val="16"/>
                <w:szCs w:val="16"/>
                <w:color w:val="auto"/>
                <w:w w:val="96"/>
              </w:rPr>
              <w:t>(losses) on cash flow hedges,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120"/>
              <w:spacing w:after="0" w:line="162" w:lineRule="exact"/>
              <w:rPr>
                <w:sz w:val="20"/>
                <w:szCs w:val="20"/>
                <w:color w:val="auto"/>
              </w:rPr>
            </w:pPr>
            <w:r>
              <w:rPr>
                <w:rFonts w:ascii="Arial" w:cs="Arial" w:eastAsia="Arial" w:hAnsi="Arial"/>
                <w:sz w:val="16"/>
                <w:szCs w:val="16"/>
                <w:color w:val="auto"/>
              </w:rPr>
              <w:t>net of income tax expense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120"/>
              <w:spacing w:after="0" w:line="162" w:lineRule="exact"/>
              <w:rPr>
                <w:sz w:val="20"/>
                <w:szCs w:val="20"/>
                <w:color w:val="auto"/>
              </w:rPr>
            </w:pPr>
            <w:r>
              <w:rPr>
                <w:rFonts w:ascii="Arial" w:cs="Arial" w:eastAsia="Arial" w:hAnsi="Arial"/>
                <w:sz w:val="16"/>
                <w:szCs w:val="16"/>
                <w:color w:val="auto"/>
              </w:rPr>
              <w:t>(benefit) of $0, $32, $0 and</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4,022</w:t>
            </w:r>
          </w:p>
        </w:tc>
        <w:tc>
          <w:tcPr>
            <w:tcW w:w="20" w:type="dxa"/>
            <w:vAlign w:val="bottom"/>
            <w:vMerge w:val="restart"/>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(8,249)</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(8,034)</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(8,727)</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$259, respectively</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200"/>
              <w:spacing w:after="0" w:line="148" w:lineRule="exact"/>
              <w:rPr>
                <w:sz w:val="20"/>
                <w:szCs w:val="20"/>
                <w:color w:val="auto"/>
              </w:rPr>
            </w:pPr>
            <w:r>
              <w:rPr>
                <w:rFonts w:ascii="Arial" w:cs="Arial" w:eastAsia="Arial" w:hAnsi="Arial"/>
                <w:sz w:val="16"/>
                <w:szCs w:val="16"/>
                <w:color w:val="auto"/>
                <w:w w:val="97"/>
              </w:rPr>
              <w:t>OTHER COMPREHENSIVE</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20" w:type="dxa"/>
            <w:vAlign w:val="bottom"/>
            <w:vMerge w:val="restart"/>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(8,727)</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(LOSS)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line="146" w:lineRule="exact"/>
              <w:rPr>
                <w:sz w:val="20"/>
                <w:szCs w:val="20"/>
                <w:color w:val="auto"/>
              </w:rPr>
            </w:pPr>
            <w:r>
              <w:rPr>
                <w:rFonts w:ascii="Arial" w:cs="Arial" w:eastAsia="Arial" w:hAnsi="Arial"/>
                <w:sz w:val="16"/>
                <w:szCs w:val="16"/>
                <w:color w:val="auto"/>
              </w:rPr>
              <w:t>NET COMPREHENSIVE</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5,685</w:t>
            </w:r>
          </w:p>
        </w:tc>
        <w:tc>
          <w:tcPr>
            <w:tcW w:w="1220" w:type="dxa"/>
            <w:vAlign w:val="bottom"/>
            <w:gridSpan w:val="3"/>
            <w:vMerge w:val="restart"/>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(51,043)</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(33,949)</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(68,836)</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20"/>
                <w:szCs w:val="20"/>
                <w:color w:val="auto"/>
              </w:rPr>
            </w:pPr>
            <w:r>
              <w:rPr>
                <w:rFonts w:ascii="Arial" w:cs="Arial" w:eastAsia="Arial" w:hAnsi="Arial"/>
                <w:sz w:val="16"/>
                <w:szCs w:val="16"/>
                <w:color w:val="auto"/>
              </w:rPr>
              <w:t>INCOME (LOSS)</w:t>
            </w:r>
          </w:p>
        </w:tc>
        <w:tc>
          <w:tcPr>
            <w:tcW w:w="1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September 30, 2020 Compared to Three Months Ended September 30, 2019</w:t>
      </w:r>
    </w:p>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tables present selected consolidated comparative results of operations from Option Care Health’s unaudited condensed consolidated financial statements for the three month periods ended September 30, 2020 and September 30, 2019.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5"/>
          </w:tcPr>
          <w:p>
            <w:pPr>
              <w:jc w:val="center"/>
              <w:ind w:right="840"/>
              <w:spacing w:after="0"/>
              <w:rPr>
                <w:sz w:val="20"/>
                <w:szCs w:val="20"/>
                <w:color w:val="auto"/>
              </w:rPr>
            </w:pPr>
            <w:r>
              <w:rPr>
                <w:rFonts w:ascii="Arial" w:cs="Arial" w:eastAsia="Arial" w:hAnsi="Arial"/>
                <w:sz w:val="16"/>
                <w:szCs w:val="16"/>
                <w:b w:val="1"/>
                <w:bCs w:val="1"/>
                <w:color w:val="auto"/>
                <w:w w:val="91"/>
              </w:rPr>
              <w:t>Three Months Ended 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40" w:type="dxa"/>
            <w:vAlign w:val="bottom"/>
            <w:gridSpan w:val="6"/>
          </w:tcPr>
          <w:p>
            <w:pPr>
              <w:jc w:val="center"/>
              <w:ind w:right="74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781,609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615,880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165,729</w:t>
            </w:r>
          </w:p>
        </w:tc>
        <w:tc>
          <w:tcPr>
            <w:tcW w:w="6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607,456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478,107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129,349</w:t>
            </w:r>
          </w:p>
        </w:tc>
        <w:tc>
          <w:tcPr>
            <w:tcW w:w="6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27.1 %</w:t>
            </w:r>
          </w:p>
        </w:tc>
        <w:tc>
          <w:tcPr>
            <w:tcW w:w="0" w:type="dxa"/>
            <w:vAlign w:val="bottom"/>
          </w:tcPr>
          <w:p>
            <w:pPr>
              <w:spacing w:after="0"/>
              <w:rPr>
                <w:sz w:val="1"/>
                <w:szCs w:val="1"/>
                <w:color w:val="auto"/>
              </w:rPr>
            </w:pPr>
          </w:p>
        </w:tc>
      </w:tr>
      <w:tr>
        <w:trPr>
          <w:trHeight w:val="23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174,153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137,773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36,380</w:t>
            </w:r>
          </w:p>
        </w:tc>
        <w:tc>
          <w:tcPr>
            <w:tcW w:w="6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22.4 %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increase in net revenue was primarily driven by additional revenue following the Merger, as the prior year included the results of BioScrip from the Merger Date, along with organic growth in the Company’s portfolio of therapies. The increase in cost of revenue was driven by the impact of the Merger and revenue growth. The increase in gross profit was primarily related to contribution margin from additional revenue from the Merger. The slight decline in gross margin percentage was primarily driven by the positive impact from the merger integration net cost synergies, offset by the incremental wage costs and personal protective equipment costs related to the COVID-19 pandemic.</w:t>
      </w:r>
    </w:p>
    <w:p>
      <w:pPr>
        <w:sectPr>
          <w:pgSz w:w="11900" w:h="16838" w:orient="portrait"/>
          <w:cols w:equalWidth="0" w:num="1">
            <w:col w:w="11140"/>
          </w:cols>
          <w:pgMar w:left="320" w:top="121" w:right="439" w:bottom="1440" w:gutter="0" w:footer="0" w:header="0"/>
        </w:sectPr>
      </w:pP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right="340"/>
        <w:spacing w:after="0" w:line="352" w:lineRule="auto"/>
        <w:rPr>
          <w:sz w:val="20"/>
          <w:szCs w:val="20"/>
          <w:color w:val="auto"/>
        </w:rPr>
      </w:pPr>
      <w:r>
        <w:rPr>
          <w:rFonts w:ascii="Arial" w:cs="Arial" w:eastAsia="Arial" w:hAnsi="Arial"/>
          <w:sz w:val="14"/>
          <w:szCs w:val="14"/>
          <w:color w:val="auto"/>
        </w:rPr>
        <w:t>Selling, general and administrative expenses Depreciation and amortization expense</w:t>
      </w:r>
    </w:p>
    <w:p>
      <w:pPr>
        <w:ind w:left="60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218"/>
        </w:trPr>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(unaudited)</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r>
      <w:tr>
        <w:trPr>
          <w:trHeight w:val="247"/>
        </w:trPr>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gridSpan w:val="6"/>
          </w:tcPr>
          <w:p>
            <w:pPr>
              <w:ind w:left="80"/>
              <w:spacing w:after="0"/>
              <w:rPr>
                <w:sz w:val="20"/>
                <w:szCs w:val="20"/>
                <w:color w:val="auto"/>
              </w:rPr>
            </w:pPr>
            <w:r>
              <w:rPr>
                <w:rFonts w:ascii="Arial" w:cs="Arial" w:eastAsia="Arial" w:hAnsi="Arial"/>
                <w:sz w:val="16"/>
                <w:szCs w:val="16"/>
                <w:b w:val="1"/>
                <w:bCs w:val="1"/>
                <w:color w:val="auto"/>
              </w:rPr>
              <w:t>(in thousands, except for percentages)</w:t>
            </w:r>
          </w:p>
        </w:tc>
        <w:tc>
          <w:tcPr>
            <w:tcW w:w="780" w:type="dxa"/>
            <w:vAlign w:val="bottom"/>
          </w:tcPr>
          <w:p>
            <w:pPr>
              <w:spacing w:after="0"/>
              <w:rPr>
                <w:sz w:val="21"/>
                <w:szCs w:val="21"/>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123,000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133,475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(10,475)</w:t>
            </w:r>
          </w:p>
        </w:tc>
        <w:tc>
          <w:tcPr>
            <w:tcW w:w="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7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1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139,597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149,498</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(9,901)</w:t>
            </w:r>
          </w:p>
        </w:tc>
        <w:tc>
          <w:tcPr>
            <w:tcW w:w="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-2582545</wp:posOffset>
            </wp:positionH>
            <wp:positionV relativeFrom="paragraph">
              <wp:posOffset>-453390</wp:posOffset>
            </wp:positionV>
            <wp:extent cx="609473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4730" cy="137160"/>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-179070</wp:posOffset>
            </wp:positionV>
            <wp:extent cx="609473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94730" cy="16256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680" w:space="720"/>
            <w:col w:w="6740"/>
          </w:cols>
          <w:pgMar w:left="320" w:top="121" w:right="439" w:bottom="1440" w:gutter="0" w:footer="0" w:header="0"/>
          <w:type w:val="continuous"/>
        </w:sectPr>
      </w:pPr>
    </w:p>
    <w:p>
      <w:pPr>
        <w:ind w:firstLine="324"/>
        <w:spacing w:after="0" w:line="327" w:lineRule="auto"/>
        <w:rPr>
          <w:sz w:val="20"/>
          <w:szCs w:val="20"/>
          <w:color w:val="auto"/>
        </w:rPr>
      </w:pPr>
      <w:r>
        <w:rPr>
          <w:rFonts w:ascii="Arial" w:cs="Arial" w:eastAsia="Arial" w:hAnsi="Arial"/>
          <w:sz w:val="15"/>
          <w:szCs w:val="15"/>
          <w:color w:val="auto"/>
        </w:rPr>
        <w:t>Selling, general and administrative expenses for the three months ended September 30, 2019 included $21.2 million of transaction and integration expenses related to the Merger. No similar expenses were incurred for the three months ended September 30, 2020. Selling, general and administrative expenses decreased as a percentage of revenue to 15.7% for the three months ended September 30, 2020 as compared to 21.7% for the three months ended September 30, 2019 due to the prior year transaction and integration expenses along with realization of net cost synergies achieved related to the Merger.</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depreciation and amortization was primarily related to the depreciation of additional investments in our pharmacies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6"/>
                <w:szCs w:val="16"/>
                <w:b w:val="1"/>
                <w:bCs w:val="1"/>
                <w:color w:val="auto"/>
                <w:w w:val="91"/>
              </w:rPr>
              <w:t>Three Months Ended September 30,</w:t>
            </w:r>
          </w:p>
        </w:tc>
        <w:tc>
          <w:tcPr>
            <w:tcW w:w="780" w:type="dxa"/>
            <w:vAlign w:val="bottom"/>
            <w:tcBorders>
              <w:bottom w:val="single" w:sz="8" w:color="auto"/>
            </w:tcBorders>
          </w:tcPr>
          <w:p>
            <w:pPr>
              <w:spacing w:after="0"/>
              <w:rPr>
                <w:sz w:val="18"/>
                <w:szCs w:val="18"/>
                <w:color w:val="auto"/>
              </w:rPr>
            </w:pPr>
          </w:p>
        </w:tc>
      </w:tr>
      <w:tr>
        <w:trPr>
          <w:trHeight w:val="207"/>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9"/>
        </w:trPr>
        <w:tc>
          <w:tcPr>
            <w:tcW w:w="4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Variance</w:t>
            </w:r>
          </w:p>
        </w:tc>
        <w:tc>
          <w:tcPr>
            <w:tcW w:w="780" w:type="dxa"/>
            <w:vAlign w:val="bottom"/>
            <w:tcBorders>
              <w:bottom w:val="single" w:sz="8" w:color="auto"/>
            </w:tcBorders>
          </w:tcPr>
          <w:p>
            <w:pPr>
              <w:spacing w:after="0"/>
              <w:rPr>
                <w:sz w:val="19"/>
                <w:szCs w:val="19"/>
                <w:color w:val="auto"/>
              </w:rPr>
            </w:pPr>
          </w:p>
        </w:tc>
      </w:tr>
      <w:tr>
        <w:trPr>
          <w:trHeight w:val="250"/>
        </w:trPr>
        <w:tc>
          <w:tcPr>
            <w:tcW w:w="4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gridSpan w:val="6"/>
          </w:tcPr>
          <w:p>
            <w:pPr>
              <w:jc w:val="center"/>
              <w:ind w:right="62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780" w:type="dxa"/>
            <w:vAlign w:val="bottom"/>
          </w:tcPr>
          <w:p>
            <w:pPr>
              <w:spacing w:after="0"/>
              <w:rPr>
                <w:sz w:val="21"/>
                <w:szCs w:val="2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w:t>
            </w: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14.3 %</w:t>
            </w: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w:t>
            </w:r>
          </w:p>
        </w:tc>
        <w:tc>
          <w:tcPr>
            <w:tcW w:w="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22.5 %</w:t>
            </w: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(32,137)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(27,493)</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(4,644)</w:t>
            </w:r>
          </w:p>
        </w:tc>
        <w:tc>
          <w:tcPr>
            <w:tcW w:w="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16.9 %</w:t>
            </w:r>
          </w:p>
        </w:tc>
      </w:tr>
      <w:tr>
        <w:trPr>
          <w:trHeight w:val="21"/>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 xml:space="preserve">The increase in interest expense was primarily attributable to the interest expense on the new debt issued in conjunction with the Merger, as the prior year included interest expense on the new debt from the Merger Date, partially offset by the savings from the $125.0 million repayment of principal on the second lien notes in the third quarter of 2020. See Note 10, </w:t>
      </w:r>
      <w:r>
        <w:rPr>
          <w:rFonts w:ascii="Arial" w:cs="Arial" w:eastAsia="Arial" w:hAnsi="Arial"/>
          <w:sz w:val="16"/>
          <w:szCs w:val="16"/>
          <w:i w:val="1"/>
          <w:iCs w:val="1"/>
          <w:color w:val="auto"/>
        </w:rPr>
        <w:t>Indebtedness</w:t>
      </w:r>
      <w:r>
        <w:rPr>
          <w:rFonts w:ascii="Arial" w:cs="Arial" w:eastAsia="Arial" w:hAnsi="Arial"/>
          <w:sz w:val="16"/>
          <w:szCs w:val="16"/>
          <w:color w:val="auto"/>
        </w:rPr>
        <w:t>, of the unaudited condensed consolidated financial statements.</w:t>
      </w:r>
    </w:p>
    <w:p>
      <w:pPr>
        <w:spacing w:after="0" w:line="10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increase in other, net relates to the loss on extinguishment of debt of $8.3 million incurred in the third quarter of 2020 in conjunction with the $125.0 million repayment of principal on the second lien notes.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 (Benefit)</w:t>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w w:val="91"/>
              </w:rPr>
              <w:t>Three Months Ended September 30,</w:t>
            </w:r>
          </w:p>
        </w:tc>
        <w:tc>
          <w:tcPr>
            <w:tcW w:w="820" w:type="dxa"/>
            <w:vAlign w:val="bottom"/>
            <w:tcBorders>
              <w:bottom w:val="single" w:sz="8" w:color="auto"/>
            </w:tcBorders>
          </w:tcPr>
          <w:p>
            <w:pPr>
              <w:spacing w:after="0"/>
              <w:rPr>
                <w:sz w:val="18"/>
                <w:szCs w:val="18"/>
                <w:color w:val="auto"/>
              </w:rPr>
            </w:pPr>
          </w:p>
        </w:tc>
      </w:tr>
      <w:tr>
        <w:trPr>
          <w:trHeight w:val="207"/>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9"/>
        </w:trPr>
        <w:tc>
          <w:tcPr>
            <w:tcW w:w="4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(unaudited)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bottom w:val="single" w:sz="8" w:color="auto"/>
            </w:tcBorders>
          </w:tcPr>
          <w:p>
            <w:pPr>
              <w:spacing w:after="0"/>
              <w:rPr>
                <w:sz w:val="19"/>
                <w:szCs w:val="19"/>
                <w:color w:val="auto"/>
              </w:rPr>
            </w:pPr>
          </w:p>
        </w:tc>
      </w:tr>
      <w:tr>
        <w:trPr>
          <w:trHeight w:val="250"/>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4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w w:val="90"/>
              </w:rPr>
              <w:t>(in thousands, except for percentages)</w:t>
            </w:r>
          </w:p>
        </w:tc>
        <w:tc>
          <w:tcPr>
            <w:tcW w:w="820" w:type="dxa"/>
            <w:vAlign w:val="bottom"/>
          </w:tcPr>
          <w:p>
            <w:pPr>
              <w:spacing w:after="0"/>
              <w:rPr>
                <w:sz w:val="21"/>
                <w:szCs w:val="2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(2,820)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r>
    </w:tbl>
    <w:p>
      <w:pPr>
        <w:spacing w:after="0" w:line="16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maintains a full valuation allowance, established at the time of Merger, against all of its net U.S. federal and state deferred tax assets with the exception of approximately $0.6 million of estimated state net operating losses (“NOL”). Because of the Company’s full valuation allowance, the Company’s tax expense for the three months ended September 30, 2020 only consists of quarterly tax liabilities attributable to separate company state tax returns as well as recognized deferred tax expense. These tax expense items resulted in an effective tax rate of 31.3% during the three months ended September 30, 2020. During the three months ended September 30, 2019, the effective tax rate was negative 9.1%. The variance in the year-over-year effective tax rates is primarily attributable to the valuation allowance established by the Company at the time of the Merger. The quarterly tax rates of both periods differ from the Company’s 21% federal statutory rate primarily due to changes in valuation allowance, certain state and local taxes, non-deductible costs and resolution of certain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Income (Loss) and Other Comprehensive Income (Loss)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jc w:val="center"/>
              <w:ind w:right="660"/>
              <w:spacing w:after="0"/>
              <w:rPr>
                <w:sz w:val="20"/>
                <w:szCs w:val="20"/>
                <w:color w:val="auto"/>
              </w:rPr>
            </w:pPr>
            <w:r>
              <w:rPr>
                <w:rFonts w:ascii="Arial" w:cs="Arial" w:eastAsia="Arial" w:hAnsi="Arial"/>
                <w:sz w:val="16"/>
                <w:szCs w:val="16"/>
                <w:b w:val="1"/>
                <w:bCs w:val="1"/>
                <w:color w:val="auto"/>
                <w:w w:val="91"/>
              </w:rPr>
              <w:t>Three Months Ended 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(unaudited)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640"/>
              <w:spacing w:after="0"/>
              <w:rPr>
                <w:sz w:val="20"/>
                <w:szCs w:val="20"/>
                <w:color w:val="auto"/>
              </w:rPr>
            </w:pPr>
            <w:r>
              <w:rPr>
                <w:rFonts w:ascii="Arial" w:cs="Arial" w:eastAsia="Arial" w:hAnsi="Arial"/>
                <w:sz w:val="16"/>
                <w:szCs w:val="16"/>
                <w:b w:val="1"/>
                <w:bCs w:val="1"/>
                <w:color w:val="auto"/>
              </w:rPr>
              <w:t>Variance</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gridSpan w:val="6"/>
          </w:tcPr>
          <w:p>
            <w:pPr>
              <w:jc w:val="center"/>
              <w:ind w:right="54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44,457</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80"/>
              <w:spacing w:after="0" w:line="169" w:lineRule="exact"/>
              <w:rPr>
                <w:sz w:val="20"/>
                <w:szCs w:val="20"/>
                <w:color w:val="auto"/>
              </w:rPr>
            </w:pPr>
            <w:r>
              <w:rPr>
                <w:rFonts w:ascii="Arial" w:cs="Arial" w:eastAsia="Arial" w:hAnsi="Arial"/>
                <w:sz w:val="16"/>
                <w:szCs w:val="16"/>
                <w:color w:val="auto"/>
                <w:w w:val="94"/>
              </w:rPr>
              <w:t>Changes in unrealized gains (losses) on cash flow hedges,</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12,271</w:t>
            </w:r>
          </w:p>
        </w:tc>
        <w:tc>
          <w:tcPr>
            <w:tcW w:w="6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of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12,271</w:t>
            </w:r>
          </w:p>
        </w:tc>
        <w:tc>
          <w:tcPr>
            <w:tcW w:w="6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(51,043)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56,728</w:t>
            </w:r>
          </w:p>
        </w:tc>
        <w:tc>
          <w:tcPr>
            <w:tcW w:w="6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change in net income (loss) was primarily attributed to contribution margin from additional revenue related to the Merger and integration savings that resulted in total operating expenses decreasing as a percentage of revenue. The prior year net loss included transaction-related expenses incurred in conjunction with the Merger.</w:t>
      </w:r>
    </w:p>
    <w:p>
      <w:pPr>
        <w:spacing w:after="0" w:line="14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change in unrealized gains (losses) on cash flow hedges, net of income taxes, primarily related to the increase in fair value on the $925.0 million notional swap. The change in unrealized loss for the three months ended September 30, 2019 related to decreases in variable interest rates, resulting in a corresponding liability on the fair value of the interest rate swaps.</w:t>
      </w:r>
    </w:p>
    <w:p>
      <w:pPr>
        <w:spacing w:after="0" w:line="15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Net comprehensive income was $5.7 million for the three months ended September 30, 2020, compared to net comprehensive loss of $51.0 million for the three months ended September 30, 2019, as a result of the changes in net income (loss), discussed above, along with the impact of the interest rate swaps.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Compared to Nine Months Ended September 30, 2019</w:t>
      </w:r>
    </w:p>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tables present selected consolidated comparative results of operations from the Company’s unaudited condensed consolidated financial statements for the nine month periods ended September 30, 2020 and September 30, 2019.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2,227,897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1,589,638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638,259</w:t>
            </w: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40.2 %</w:t>
            </w:r>
          </w:p>
        </w:tc>
        <w:tc>
          <w:tcPr>
            <w:tcW w:w="0" w:type="dxa"/>
            <w:vAlign w:val="bottom"/>
          </w:tcPr>
          <w:p>
            <w:pPr>
              <w:spacing w:after="0"/>
              <w:rPr>
                <w:sz w:val="1"/>
                <w:szCs w:val="1"/>
                <w:color w:val="auto"/>
              </w:rPr>
            </w:pPr>
          </w:p>
        </w:tc>
      </w:tr>
      <w:tr>
        <w:trPr>
          <w:trHeight w:val="21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1,729,395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1,252,281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477,114</w:t>
            </w:r>
          </w:p>
        </w:tc>
        <w:tc>
          <w:tcPr>
            <w:tcW w:w="6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38.1 %</w:t>
            </w:r>
          </w:p>
        </w:tc>
        <w:tc>
          <w:tcPr>
            <w:tcW w:w="0" w:type="dxa"/>
            <w:vAlign w:val="bottom"/>
          </w:tcPr>
          <w:p>
            <w:pPr>
              <w:spacing w:after="0"/>
              <w:rPr>
                <w:sz w:val="1"/>
                <w:szCs w:val="1"/>
                <w:color w:val="auto"/>
              </w:rPr>
            </w:pPr>
          </w:p>
        </w:tc>
      </w:tr>
      <w:tr>
        <w:trPr>
          <w:trHeight w:val="23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498,502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337,357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161,145</w:t>
            </w:r>
          </w:p>
        </w:tc>
        <w:tc>
          <w:tcPr>
            <w:tcW w:w="6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22.4 %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21.2 %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increase in net revenue was primarily driven by additional revenue following the Merger as well as growth in the Company’s portfolio of therapies. The increase in cost of revenue was driven by the impact of the Merger and organic growth. The increase in gross profit was primarily related to contribution margin from additional revenue from the Merger. The increase in gross margin percentage was primarily driven by the positive impact from the merger integration net cost synergies, partially offset by the incremental wage costs and personal protective equipment costs related to the COVID-19 pandemic.</w:t>
      </w:r>
    </w:p>
    <w:p>
      <w:pPr>
        <w:sectPr>
          <w:pgSz w:w="11900" w:h="16838" w:orient="portrait"/>
          <w:cols w:equalWidth="0" w:num="1">
            <w:col w:w="11240"/>
          </w:cols>
          <w:pgMar w:left="320" w:top="121" w:right="339" w:bottom="1440" w:gutter="0" w:footer="0" w:header="0"/>
        </w:sectPr>
      </w:pP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right="1940"/>
        <w:spacing w:after="0" w:line="352" w:lineRule="auto"/>
        <w:rPr>
          <w:sz w:val="20"/>
          <w:szCs w:val="20"/>
          <w:color w:val="auto"/>
        </w:rPr>
      </w:pPr>
      <w:r>
        <w:rPr>
          <w:rFonts w:ascii="Arial" w:cs="Arial" w:eastAsia="Arial" w:hAnsi="Arial"/>
          <w:sz w:val="14"/>
          <w:szCs w:val="14"/>
          <w:color w:val="auto"/>
        </w:rPr>
        <w:t>Selling, general and administrative expenses Depreciation and amortization expense</w:t>
      </w:r>
    </w:p>
    <w:p>
      <w:pPr>
        <w:ind w:left="32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218"/>
        </w:trPr>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r>
      <w:tr>
        <w:trPr>
          <w:trHeight w:val="247"/>
        </w:trPr>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00" w:type="dxa"/>
            <w:vAlign w:val="bottom"/>
            <w:gridSpan w:val="6"/>
          </w:tcPr>
          <w:p>
            <w:pPr>
              <w:ind w:left="60"/>
              <w:spacing w:after="0"/>
              <w:rPr>
                <w:sz w:val="20"/>
                <w:szCs w:val="20"/>
                <w:color w:val="auto"/>
              </w:rPr>
            </w:pPr>
            <w:r>
              <w:rPr>
                <w:rFonts w:ascii="Arial" w:cs="Arial" w:eastAsia="Arial" w:hAnsi="Arial"/>
                <w:sz w:val="16"/>
                <w:szCs w:val="16"/>
                <w:b w:val="1"/>
                <w:bCs w:val="1"/>
                <w:color w:val="auto"/>
              </w:rPr>
              <w:t>(in thousands, except for percentages)</w:t>
            </w:r>
          </w:p>
        </w:tc>
        <w:tc>
          <w:tcPr>
            <w:tcW w:w="780" w:type="dxa"/>
            <w:vAlign w:val="bottom"/>
          </w:tcPr>
          <w:p>
            <w:pPr>
              <w:spacing w:after="0"/>
              <w:rPr>
                <w:sz w:val="21"/>
                <w:szCs w:val="21"/>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377,198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315,815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61,383</w:t>
            </w: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19.4 %</w:t>
            </w:r>
          </w:p>
        </w:tc>
      </w:tr>
      <w:tr>
        <w:trPr>
          <w:trHeight w:val="219"/>
        </w:trPr>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54,892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36,142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18,750</w:t>
            </w:r>
          </w:p>
        </w:tc>
        <w:tc>
          <w:tcPr>
            <w:tcW w:w="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51.9 %</w:t>
            </w:r>
          </w:p>
        </w:tc>
      </w:tr>
      <w:tr>
        <w:trPr>
          <w:trHeight w:val="21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432,090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351,957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80,133</w:t>
            </w: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22.8 %</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-453390</wp:posOffset>
            </wp:positionV>
            <wp:extent cx="70548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-179070</wp:posOffset>
            </wp:positionV>
            <wp:extent cx="705485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4850" cy="16319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jc w:val="both"/>
        <w:ind w:firstLine="324"/>
        <w:spacing w:after="0" w:line="263" w:lineRule="auto"/>
        <w:rPr>
          <w:sz w:val="20"/>
          <w:szCs w:val="20"/>
          <w:color w:val="auto"/>
        </w:rPr>
      </w:pPr>
      <w:r>
        <w:rPr>
          <w:rFonts w:ascii="Arial" w:cs="Arial" w:eastAsia="Arial" w:hAnsi="Arial"/>
          <w:sz w:val="18"/>
          <w:szCs w:val="18"/>
          <w:color w:val="auto"/>
        </w:rPr>
        <w:t>Selling, general and administrative expenses increased for the nine months ended September 30, 2020 primarily due to the impact of the Merger, but has decreased as a percentage of revenue to 16.9% for the nine months ended September 30, 2020 as compared to 19.9% for the nine months ended September 30, 2019 due to synergy realization.</w:t>
      </w:r>
    </w:p>
    <w:p>
      <w:pPr>
        <w:spacing w:after="0" w:line="143" w:lineRule="exact"/>
        <w:rPr>
          <w:sz w:val="20"/>
          <w:szCs w:val="20"/>
          <w:color w:val="auto"/>
        </w:rPr>
      </w:pPr>
    </w:p>
    <w:p>
      <w:pPr>
        <w:ind w:right="680" w:firstLine="324"/>
        <w:spacing w:after="0" w:line="308" w:lineRule="auto"/>
        <w:rPr>
          <w:sz w:val="20"/>
          <w:szCs w:val="20"/>
          <w:color w:val="auto"/>
        </w:rPr>
      </w:pPr>
      <w:r>
        <w:rPr>
          <w:rFonts w:ascii="Arial" w:cs="Arial" w:eastAsia="Arial" w:hAnsi="Arial"/>
          <w:sz w:val="17"/>
          <w:szCs w:val="17"/>
          <w:color w:val="auto"/>
        </w:rPr>
        <w:t>The increase in depreciation and amortization was primarily related to the depreciation of the fixed assets acquired and the amortization of the intangibles acquired from the Merger along with depreciation of additional investments in our pharmacies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6"/>
                <w:szCs w:val="16"/>
                <w:b w:val="1"/>
                <w:bCs w:val="1"/>
                <w:color w:val="auto"/>
                <w:w w:val="91"/>
              </w:rPr>
              <w:t>Nine Months Ended September 30,</w:t>
            </w:r>
          </w:p>
        </w:tc>
        <w:tc>
          <w:tcPr>
            <w:tcW w:w="780" w:type="dxa"/>
            <w:vAlign w:val="bottom"/>
            <w:tcBorders>
              <w:bottom w:val="single" w:sz="8" w:color="auto"/>
            </w:tcBorders>
          </w:tcPr>
          <w:p>
            <w:pPr>
              <w:spacing w:after="0"/>
              <w:rPr>
                <w:sz w:val="18"/>
                <w:szCs w:val="18"/>
                <w:color w:val="auto"/>
              </w:rPr>
            </w:pPr>
          </w:p>
        </w:tc>
      </w:tr>
      <w:tr>
        <w:trPr>
          <w:trHeight w:val="207"/>
        </w:trPr>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9"/>
        </w:trPr>
        <w:tc>
          <w:tcPr>
            <w:tcW w:w="5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(unaudited)</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(unaudited)</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780" w:type="dxa"/>
            <w:vAlign w:val="bottom"/>
            <w:tcBorders>
              <w:bottom w:val="single" w:sz="8" w:color="auto"/>
            </w:tcBorders>
          </w:tcPr>
          <w:p>
            <w:pPr>
              <w:spacing w:after="0"/>
              <w:rPr>
                <w:sz w:val="19"/>
                <w:szCs w:val="19"/>
                <w:color w:val="auto"/>
              </w:rPr>
            </w:pPr>
          </w:p>
        </w:tc>
      </w:tr>
      <w:tr>
        <w:trPr>
          <w:trHeight w:val="250"/>
        </w:trPr>
        <w:tc>
          <w:tcPr>
            <w:tcW w:w="5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gridSpan w:val="6"/>
          </w:tcPr>
          <w:p>
            <w:pPr>
              <w:jc w:val="center"/>
              <w:ind w:right="60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780" w:type="dxa"/>
            <w:vAlign w:val="bottom"/>
          </w:tcPr>
          <w:p>
            <w:pPr>
              <w:spacing w:after="0"/>
              <w:rPr>
                <w:sz w:val="21"/>
                <w:szCs w:val="21"/>
                <w:color w:val="auto"/>
              </w:rPr>
            </w:pPr>
          </w:p>
        </w:tc>
      </w:tr>
      <w:tr>
        <w:trPr>
          <w:trHeight w:val="21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(39,985)</w:t>
            </w: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90.6 %</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Equity in earnings of joint ventures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346</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17.1 %</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24.6 %</w:t>
            </w:r>
          </w:p>
        </w:tc>
      </w:tr>
      <w:tr>
        <w:trPr>
          <w:trHeight w:val="212"/>
        </w:trPr>
        <w:tc>
          <w:tcPr>
            <w:tcW w:w="5660" w:type="dxa"/>
            <w:vAlign w:val="bottom"/>
          </w:tcPr>
          <w:p>
            <w:pPr>
              <w:ind w:left="240"/>
              <w:spacing w:after="0"/>
              <w:rPr>
                <w:sz w:val="20"/>
                <w:szCs w:val="20"/>
                <w:color w:val="auto"/>
              </w:rPr>
            </w:pPr>
            <w:r>
              <w:rPr>
                <w:rFonts w:ascii="Arial" w:cs="Arial" w:eastAsia="Arial" w:hAnsi="Arial"/>
                <w:sz w:val="16"/>
                <w:szCs w:val="16"/>
                <w:color w:val="auto"/>
              </w:rPr>
              <w:t>Total other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(90,060)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(48,778)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(41,282)</w:t>
            </w: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84.6 %</w:t>
            </w:r>
          </w:p>
        </w:tc>
      </w:tr>
      <w:tr>
        <w:trPr>
          <w:trHeight w:val="21"/>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increase in interest expense was primarily attributable to the interest expense on the new debt issued in conjunction with the Merger, as discussed above.</w:t>
      </w:r>
    </w:p>
    <w:p>
      <w:pPr>
        <w:spacing w:after="0" w:line="13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increase in other, net relates to the loss on extinguishment of debt of $8.3 million incurred in the third quarter of 2020 in conjunction with the $125.0 million repayment of principal on the second lien notes.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 (Benefit)</w:t>
      </w: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center"/>
              <w:ind w:right="579"/>
              <w:spacing w:after="0"/>
              <w:rPr>
                <w:sz w:val="20"/>
                <w:szCs w:val="20"/>
                <w:color w:val="auto"/>
              </w:rPr>
            </w:pPr>
            <w:r>
              <w:rPr>
                <w:rFonts w:ascii="Arial" w:cs="Arial" w:eastAsia="Arial" w:hAnsi="Arial"/>
                <w:sz w:val="16"/>
                <w:szCs w:val="16"/>
                <w:b w:val="1"/>
                <w:bCs w:val="1"/>
                <w:color w:val="auto"/>
                <w:w w:val="91"/>
              </w:rPr>
              <w:t>Nine Months Ended September 30,</w:t>
            </w:r>
          </w:p>
        </w:tc>
        <w:tc>
          <w:tcPr>
            <w:tcW w:w="840" w:type="dxa"/>
            <w:vAlign w:val="bottom"/>
            <w:tcBorders>
              <w:bottom w:val="single" w:sz="8" w:color="auto"/>
            </w:tcBorders>
          </w:tcPr>
          <w:p>
            <w:pPr>
              <w:spacing w:after="0"/>
              <w:rPr>
                <w:sz w:val="18"/>
                <w:szCs w:val="18"/>
                <w:color w:val="auto"/>
              </w:rPr>
            </w:pPr>
          </w:p>
        </w:tc>
      </w:tr>
      <w:tr>
        <w:trPr>
          <w:trHeight w:val="207"/>
        </w:trPr>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9"/>
        </w:trPr>
        <w:tc>
          <w:tcPr>
            <w:tcW w:w="5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(unaudited)</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Variance</w:t>
            </w:r>
          </w:p>
        </w:tc>
        <w:tc>
          <w:tcPr>
            <w:tcW w:w="840" w:type="dxa"/>
            <w:vAlign w:val="bottom"/>
            <w:tcBorders>
              <w:bottom w:val="single" w:sz="8" w:color="auto"/>
            </w:tcBorders>
          </w:tcPr>
          <w:p>
            <w:pPr>
              <w:spacing w:after="0"/>
              <w:rPr>
                <w:sz w:val="19"/>
                <w:szCs w:val="19"/>
                <w:color w:val="auto"/>
              </w:rPr>
            </w:pPr>
          </w:p>
        </w:tc>
      </w:tr>
      <w:tr>
        <w:trPr>
          <w:trHeight w:val="250"/>
        </w:trPr>
        <w:tc>
          <w:tcPr>
            <w:tcW w:w="5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5"/>
          </w:tcPr>
          <w:p>
            <w:pPr>
              <w:jc w:val="center"/>
              <w:ind w:right="459"/>
              <w:spacing w:after="0"/>
              <w:rPr>
                <w:sz w:val="20"/>
                <w:szCs w:val="20"/>
                <w:color w:val="auto"/>
              </w:rPr>
            </w:pPr>
            <w:r>
              <w:rPr>
                <w:rFonts w:ascii="Arial" w:cs="Arial" w:eastAsia="Arial" w:hAnsi="Arial"/>
                <w:sz w:val="16"/>
                <w:szCs w:val="16"/>
                <w:b w:val="1"/>
                <w:bCs w:val="1"/>
                <w:color w:val="auto"/>
                <w:w w:val="89"/>
              </w:rPr>
              <w:t>(in thousands, except for percentages)</w:t>
            </w:r>
          </w:p>
        </w:tc>
        <w:tc>
          <w:tcPr>
            <w:tcW w:w="840" w:type="dxa"/>
            <w:vAlign w:val="bottom"/>
          </w:tcPr>
          <w:p>
            <w:pPr>
              <w:spacing w:after="0"/>
              <w:rPr>
                <w:sz w:val="21"/>
                <w:szCs w:val="21"/>
                <w:color w:val="auto"/>
              </w:rPr>
            </w:pPr>
          </w:p>
        </w:tc>
      </w:tr>
      <w:tr>
        <w:trPr>
          <w:trHeight w:val="21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5,536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r>
    </w:tbl>
    <w:p>
      <w:pPr>
        <w:spacing w:after="0" w:line="16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maintains a full valuation allowance, established at the time of Merger, against all of its net U.S. federal and state deferred tax assets with the exception of approximately $0.6 million of estimated state net operating losses (“NOL”). Because of the Company’s full valuation allowance, the Company’s tax expense for the nine months ended September 30, 2020 only consists of quarterly tax liabilities attributable to separate company state taxing authorities as well as recognized deferred tax expense. These tax expense items created a negative effective tax rate of 9.6% during the nine months ended September 30, 2020. During the nine months ended September 30, 2019, the effective tax rate was 5.2%. The variance in the year-over-year effective tax rates is primarily attributable to the valuation allowance established by the Company at the time of the Merger. The effective tax rates of both periods differ from the Company’s 21% federal statutory rate primarily due to changes in valuation allowance, certain state and local taxes, non-deductible costs and resolution of certain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Income (Loss) and Other Comprehensive Income (Loss)</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6"/>
                <w:szCs w:val="16"/>
                <w:b w:val="1"/>
                <w:bCs w:val="1"/>
                <w:color w:val="auto"/>
                <w:w w:val="91"/>
              </w:rPr>
              <w:t>Nine Months Ended September 30,</w:t>
            </w:r>
          </w:p>
        </w:tc>
        <w:tc>
          <w:tcPr>
            <w:tcW w:w="800" w:type="dxa"/>
            <w:vAlign w:val="bottom"/>
            <w:tcBorders>
              <w:bottom w:val="single" w:sz="8" w:color="auto"/>
            </w:tcBorders>
          </w:tcPr>
          <w:p>
            <w:pPr>
              <w:spacing w:after="0"/>
              <w:rPr>
                <w:sz w:val="18"/>
                <w:szCs w:val="18"/>
                <w:color w:val="auto"/>
              </w:rPr>
            </w:pPr>
          </w:p>
        </w:tc>
      </w:tr>
      <w:tr>
        <w:trPr>
          <w:trHeight w:val="207"/>
        </w:trPr>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9"/>
        </w:trPr>
        <w:tc>
          <w:tcPr>
            <w:tcW w:w="5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(unaudited)</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(unaudited)</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640"/>
              <w:spacing w:after="0"/>
              <w:rPr>
                <w:sz w:val="20"/>
                <w:szCs w:val="20"/>
                <w:color w:val="auto"/>
              </w:rPr>
            </w:pPr>
            <w:r>
              <w:rPr>
                <w:rFonts w:ascii="Arial" w:cs="Arial" w:eastAsia="Arial" w:hAnsi="Arial"/>
                <w:sz w:val="16"/>
                <w:szCs w:val="16"/>
                <w:b w:val="1"/>
                <w:bCs w:val="1"/>
                <w:color w:val="auto"/>
              </w:rPr>
              <w:t>Variance</w:t>
            </w:r>
          </w:p>
        </w:tc>
        <w:tc>
          <w:tcPr>
            <w:tcW w:w="800" w:type="dxa"/>
            <w:vAlign w:val="bottom"/>
            <w:tcBorders>
              <w:bottom w:val="single" w:sz="8" w:color="auto"/>
            </w:tcBorders>
          </w:tcPr>
          <w:p>
            <w:pPr>
              <w:spacing w:after="0"/>
              <w:rPr>
                <w:sz w:val="19"/>
                <w:szCs w:val="19"/>
                <w:color w:val="auto"/>
              </w:rPr>
            </w:pPr>
          </w:p>
        </w:tc>
      </w:tr>
      <w:tr>
        <w:trPr>
          <w:trHeight w:val="250"/>
        </w:trPr>
        <w:tc>
          <w:tcPr>
            <w:tcW w:w="5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6"/>
          </w:tcPr>
          <w:p>
            <w:pPr>
              <w:jc w:val="center"/>
              <w:ind w:right="58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800" w:type="dxa"/>
            <w:vAlign w:val="bottom"/>
          </w:tcPr>
          <w:p>
            <w:pPr>
              <w:spacing w:after="0"/>
              <w:rPr>
                <w:sz w:val="21"/>
                <w:szCs w:val="21"/>
                <w:color w:val="auto"/>
              </w:rPr>
            </w:pPr>
          </w:p>
        </w:tc>
      </w:tr>
      <w:tr>
        <w:trPr>
          <w:trHeight w:val="21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(60,109)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34,194</w:t>
            </w: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660" w:type="dxa"/>
            <w:vAlign w:val="bottom"/>
            <w:shd w:val="clear" w:color="auto" w:fill="CCEEFF"/>
          </w:tcPr>
          <w:p>
            <w:pPr>
              <w:ind w:left="60"/>
              <w:spacing w:after="0"/>
              <w:rPr>
                <w:sz w:val="20"/>
                <w:szCs w:val="20"/>
                <w:color w:val="auto"/>
              </w:rPr>
            </w:pPr>
            <w:r>
              <w:rPr>
                <w:rFonts w:ascii="Arial" w:cs="Arial" w:eastAsia="Arial" w:hAnsi="Arial"/>
                <w:sz w:val="16"/>
                <w:szCs w:val="16"/>
                <w:color w:val="auto"/>
              </w:rPr>
              <w:t>Changes in unrealized losses on cash flow hedges, net of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06"/>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(8,727)</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6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(7.9)%</w:t>
            </w:r>
          </w:p>
        </w:tc>
      </w:tr>
      <w:tr>
        <w:trPr>
          <w:trHeight w:val="238"/>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(68,836)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34,887</w:t>
            </w: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change in net loss was primarily attributed to increased depreciation, amortization and interest expense, which was partially offset by operating efficiencies, certain cost saving initiatives related to COVID-19 and Merger integration savings.</w:t>
      </w:r>
    </w:p>
    <w:p>
      <w:pPr>
        <w:spacing w:after="0" w:line="130"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change in unrealized losses on cash flow hedges, net of income taxes, related to the decrease in the variable interest rates during 2020, partially offset by the $3.7 million reclassification from accumulated other comprehensive income to interest expense upon discontinuing hedge accounting on the $400.0 million notional interest rate swap. The change in unrealized losses for the nine months ended September 30, 2019 related to fluctuations on interest rate caps along with decreasing interest rates, which resulted in a corresponding liability on the change in fair value of the interest rate swaps.</w:t>
      </w:r>
    </w:p>
    <w:p>
      <w:pPr>
        <w:spacing w:after="0" w:line="13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change in net comprehensive loss was the result of the change in net loss, described above, further reduced by the impact of the fair value of the interest rate swaps.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For the nine months ended September 30, 2020 and the twelve months ended December 31, 2019, the Company’s primary sources of liquidity were cash on hand of $140.0 million and $67.1 million, respectively, as well as the $140.4 million of borrowings available under its credit facilities. During the nine months ended September 30, 2020 and the year ended December 31, 2019, the Company’s positive cash flows from operations enabled investments in pharmacy and information technology infrastructure to support growth and create additional capacity in the future, as well as pursue acquisitions.</w:t>
      </w:r>
    </w:p>
    <w:p>
      <w:pPr>
        <w:spacing w:after="0" w:line="13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Company’s primary uses of cash include supporting our ongoing business activities and investing in various acquisitions and our infrastructure to support additional business volumes. Ongoing operating cash outflows are primarily associated with procuring and dispensing prescription drugs, personnel and other costs associated with servicing patients, as well as paying cash interest on the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w:t>
      </w:r>
    </w:p>
    <w:p>
      <w:pPr>
        <w:spacing w:after="0" w:line="12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Our business strategy includes the selective acquisition of additional infusion pharmacies and other related healthcare businesses.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Liquidity Requirements</w:t>
      </w:r>
    </w:p>
    <w:p>
      <w:pPr>
        <w:spacing w:after="0" w:line="198"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Company’s ability to make principal and interest payments on any borrowings under our credit facilities and our 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for at least the next 12 months. We may require additional borrowings under our credit facilities and alternative forms of financings or investments to achieve our longer-term strategic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The Company’s asset-based-lending (“ABL”) revolving credit facility provides for borrowings up to $150.0 million, which matures on August 6, 2024. The ABL facility bears interest at a per annum rate that is determined by the Company’s periodic selection of rate type, either the Base Rate or the Eurocurrency Rate. The Base Rate is charged between 1.25% and 1.75% and the Eurocurrency Rate is charged between 2.25% and 2.75% based on the historical excess availability as a percentage of the Line Cap, as defined in the ABL facility credit agreement. The revolving credit facility contains commitment fees payable on the unused portion of the ABL facility ranging from 0.25% to 0.375%, depending on various factors including the Company’s leverage ratio, type of loan and rate type, and letter of credit fees of 2.5%. The Company had no outstanding borrowings under the ABL facility at September 30, 2020. The Company had $9.6 million of undrawn letters of credit issued and outstanding, resulting in net borrowing availability under the ABL facility of $140.4 million as of September 30, 2020. Subsequent to September 30, 2020, the Company increased the borrowing capacity of the ABL facility to $175.0 million, increasing net borrowings available to $165.4 million. See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for further discussion of the increased borrowing capacity.</w:t>
      </w:r>
    </w:p>
    <w:p>
      <w:pPr>
        <w:spacing w:after="0" w:line="15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principal balance of the first lien term loan is repayable in quarterly installments of $2.3 million plus interest, with a final payment of all remaining outstanding principal due on August 6, 2026. The quarterly principal payments commenced in March of 2020. Interest on the first lien term loan is payable monthly on Base Rate loans at Base Rate, as defined, plus 3.25% to 3.50%, depending on the Company’s leverage ratio. Interest is charged on Eurocurrency Rate loans at the Eurocurrency Rate, as defined, plus 4.25% to 4.50%, depending on the Company’s leverage ratio. The interest rate on the first lien term loan was 4.65% as of September 30, 2020.</w:t>
      </w:r>
    </w:p>
    <w:p>
      <w:pPr>
        <w:spacing w:after="0" w:line="1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second lien notes mature on August 6, 2027. Interest on the second lien notes is payable quarterly and is at the greater of 1% or London Interbank Offered Rate (“LIBOR”), plus 8.75%. The Company elected to pay-in-kind the first quarterly interest payment, due in November 2019, which resulted in the Company capitalizing the interest payment to the principal balance on the interest payment date. The Company paid the second and third quarterly interest payments, due in February 2020 and May 2020. The Company elected to pay-in-kind the quarterly interest payment due in August 2020, which resulted in the Company capitalizing the interest payment to the principal balance on the interest payment date. In August 2020, the Company prepaid $125.0 million of second lien note principal, bringing the outstanding principal balance to $294.8 million. The interest rate on the second lien notes was 9.00%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data from Option Care Health’s unaudited condensed consolidated statements of cash flows: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07"/>
        </w:trPr>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9"/>
        </w:trPr>
        <w:tc>
          <w:tcPr>
            <w:tcW w:w="4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Variance</w:t>
            </w:r>
          </w:p>
        </w:tc>
      </w:tr>
      <w:tr>
        <w:trPr>
          <w:trHeight w:val="250"/>
        </w:trPr>
        <w:tc>
          <w:tcPr>
            <w:tcW w:w="4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(in thousands)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85,158</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(712,684)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700,354</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712,512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(728,919)</w:t>
            </w: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72,991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16,398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56,593</w:t>
            </w: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36,391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30,665</w:t>
            </w:r>
          </w:p>
        </w:tc>
      </w:tr>
      <w:tr>
        <w:trPr>
          <w:trHeight w:val="212"/>
        </w:trPr>
        <w:tc>
          <w:tcPr>
            <w:tcW w:w="412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140,047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87,258</w:t>
            </w:r>
          </w:p>
        </w:tc>
      </w:tr>
      <w:tr>
        <w:trPr>
          <w:trHeight w:val="21"/>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cash flows provided by operating activities is primarily due to working capital efficiencies and timing of vendor payments during the nine months ended September 30,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cash flows used in investing activities is primarily due to the BioScrip acquisition in the prior year.</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8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decrease in cash (used in) provided by financing activities is related to the prior year proceeds from the issuance of new debt of $981.1 million, partially offset by the retirement of the Company’s previous debt of $226.7 million and the payment of deferred financing costs of $36.5 million for the nine months ended September 30, 2019. The cash used in financing activities for the nine months ended September 30, 2020 primarily related to prepayment of the second lien notes of $125.0 million, partially offset by proceeds from the issuance of common stock of $119.0 million, as well as principal payments on the first lien term loan.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 and Contractual Obligations</w:t>
      </w:r>
    </w:p>
    <w:p>
      <w:pPr>
        <w:spacing w:after="0" w:line="19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following table presents Option Care Health’s commitments and contractual obligations as of September 30, 2020, as well as its long-term obligations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8"/>
                <w:szCs w:val="18"/>
                <w:b w:val="1"/>
                <w:bCs w:val="1"/>
                <w:color w:val="auto"/>
                <w:w w:val="89"/>
              </w:rPr>
              <w:t>Payments Due by Period</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8"/>
              </w:rPr>
              <w:t>Less than 1</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1 - 3 years</w:t>
            </w:r>
          </w:p>
        </w:tc>
        <w:tc>
          <w:tcPr>
            <w:tcW w:w="16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3 - 5 years</w:t>
            </w:r>
          </w:p>
        </w:tc>
        <w:tc>
          <w:tcPr>
            <w:tcW w:w="120" w:type="dxa"/>
            <w:vAlign w:val="bottom"/>
          </w:tcPr>
          <w:p>
            <w:pPr>
              <w:spacing w:after="0"/>
              <w:rPr>
                <w:sz w:val="14"/>
                <w:szCs w:val="14"/>
                <w:color w:val="auto"/>
              </w:rPr>
            </w:pPr>
          </w:p>
        </w:tc>
        <w:tc>
          <w:tcPr>
            <w:tcW w:w="110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w w:val="93"/>
              </w:rPr>
              <w:t>More than 5</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year</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center"/>
              <w:ind w:right="80"/>
              <w:spacing w:after="0"/>
              <w:rPr>
                <w:sz w:val="20"/>
                <w:szCs w:val="20"/>
                <w:color w:val="auto"/>
              </w:rPr>
            </w:pPr>
            <w:r>
              <w:rPr>
                <w:rFonts w:ascii="Arial" w:cs="Arial" w:eastAsia="Arial" w:hAnsi="Arial"/>
                <w:sz w:val="18"/>
                <w:szCs w:val="18"/>
                <w:i w:val="1"/>
                <w:iCs w:val="1"/>
                <w:color w:val="auto"/>
                <w:w w:val="91"/>
              </w:rPr>
              <w:t>(in thousands)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1,166,594</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payments on long-term debt obligations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455,844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138,655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136,910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110,298</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30,112</w:t>
            </w:r>
          </w:p>
        </w:tc>
        <w:tc>
          <w:tcPr>
            <w:tcW w:w="0" w:type="dxa"/>
            <w:vAlign w:val="bottom"/>
          </w:tcPr>
          <w:p>
            <w:pPr>
              <w:spacing w:after="0"/>
              <w:rPr>
                <w:sz w:val="1"/>
                <w:szCs w:val="1"/>
                <w:color w:val="auto"/>
              </w:rPr>
            </w:pPr>
          </w:p>
        </w:tc>
      </w:tr>
      <w:tr>
        <w:trPr>
          <w:trHeight w:val="223"/>
        </w:trPr>
        <w:tc>
          <w:tcPr>
            <w:tcW w:w="4480" w:type="dxa"/>
            <w:vAlign w:val="bottom"/>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1,777,940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105,571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190,373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174,992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1,307,004</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aggregate principal payment from the first lien term loan and second lien notes.</w:t>
      </w:r>
    </w:p>
    <w:p>
      <w:pPr>
        <w:spacing w:after="0" w:line="198" w:lineRule="exact"/>
        <w:rPr>
          <w:rFonts w:ascii="Arial" w:cs="Arial" w:eastAsia="Arial" w:hAnsi="Arial"/>
          <w:sz w:val="18"/>
          <w:szCs w:val="18"/>
          <w:color w:val="auto"/>
        </w:rPr>
      </w:pPr>
    </w:p>
    <w:p>
      <w:pPr>
        <w:ind w:left="340" w:right="80" w:hanging="8"/>
        <w:spacing w:after="0" w:line="308" w:lineRule="auto"/>
        <w:tabs>
          <w:tab w:leader="none" w:pos="595"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Interest payments calculated based on LIBOR rate as of September 30, 2020. Actual payments are based on changes in LIBOR. Calculated interest payments exclude interest rate swap agreements the Company entered into in connection with the long-term debt obligations.</w:t>
      </w:r>
    </w:p>
    <w:p>
      <w:pPr>
        <w:spacing w:after="0" w:line="106" w:lineRule="exact"/>
        <w:rPr>
          <w:sz w:val="20"/>
          <w:szCs w:val="20"/>
          <w:color w:val="auto"/>
        </w:rPr>
      </w:pPr>
    </w:p>
    <w:p>
      <w:pPr>
        <w:ind w:right="1640" w:firstLine="324"/>
        <w:spacing w:after="0" w:line="461" w:lineRule="auto"/>
        <w:rPr>
          <w:sz w:val="20"/>
          <w:szCs w:val="20"/>
          <w:color w:val="auto"/>
        </w:rPr>
      </w:pPr>
      <w:r>
        <w:rPr>
          <w:rFonts w:ascii="Arial" w:cs="Arial" w:eastAsia="Arial" w:hAnsi="Arial"/>
          <w:sz w:val="18"/>
          <w:szCs w:val="18"/>
          <w:color w:val="auto"/>
        </w:rPr>
        <w:t xml:space="preserve">The contractual commitment amounts in the table above are associated with agreements that are enforceable and legally binding. </w:t>
      </w:r>
      <w:r>
        <w:rPr>
          <w:rFonts w:ascii="Arial" w:cs="Arial" w:eastAsia="Arial" w:hAnsi="Arial"/>
          <w:sz w:val="18"/>
          <w:szCs w:val="18"/>
          <w:b w:val="1"/>
          <w:bCs w:val="1"/>
          <w:color w:val="auto"/>
        </w:rPr>
        <w:t>Off-Balance Sheet Arrangements</w:t>
      </w:r>
    </w:p>
    <w:p>
      <w:pPr>
        <w:spacing w:after="0" w:line="1" w:lineRule="exact"/>
        <w:rPr>
          <w:sz w:val="20"/>
          <w:szCs w:val="20"/>
          <w:color w:val="auto"/>
        </w:rPr>
      </w:pPr>
    </w:p>
    <w:p>
      <w:pPr>
        <w:ind w:right="260" w:firstLine="324"/>
        <w:spacing w:after="0" w:line="453" w:lineRule="auto"/>
        <w:rPr>
          <w:sz w:val="20"/>
          <w:szCs w:val="20"/>
          <w:color w:val="auto"/>
        </w:rPr>
      </w:pPr>
      <w:r>
        <w:rPr>
          <w:rFonts w:ascii="Arial" w:cs="Arial" w:eastAsia="Arial" w:hAnsi="Arial"/>
          <w:sz w:val="18"/>
          <w:szCs w:val="18"/>
          <w:color w:val="auto"/>
        </w:rPr>
        <w:t xml:space="preserve">As of September 30, 2020, Option Care Health did not have any off-balance sheet arrangements, as defined in Item 303(a)(4)(ii) of Regulation S-K. </w:t>
      </w:r>
      <w:r>
        <w:rPr>
          <w:rFonts w:ascii="Arial" w:cs="Arial" w:eastAsia="Arial" w:hAnsi="Arial"/>
          <w:sz w:val="18"/>
          <w:szCs w:val="18"/>
          <w:b w:val="1"/>
          <w:bCs w:val="1"/>
          <w:color w:val="auto"/>
        </w:rPr>
        <w:t>Critical Accounting Policies and Estimates</w:t>
      </w:r>
    </w:p>
    <w:p>
      <w:pPr>
        <w:spacing w:after="0" w:line="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prepares its unaudited condensed consolidated financial statements in accordance with United States generally accepted accounting principles (“GAAP”), which requires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65"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There have been no significant changes in the critical accounting estimates from those described in the Company’s audited consolidated financial statements and related notes, as presented in our Annual report on 10-K for the year ended December 31, 2019,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have been no material changes to our exposure to market risk from those included in our Annual Report on Form 10-K for the year ended December 31, 2019, hereby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September 30, 2020. Based on that evaluation, the Company’s Chief Executive Officer and its Chief Financial Officer concluded that our disclosure controls and procedures were effective as of September 30,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8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Merger, which was completed on August 6, 2019, has had a material impact on the financial position, results of operations, and cash flows of the combined company from the date of acquisition through September 30, 2020. The business combination also resulted in material changes in the combined company's internal controls over financial reporting. The Company is in the process of designing and integrating policies, processes, operations, technology, and other components of internal controls over financial reporting of the combined company. Management will monitor the implementation of new controls and test the operating effectiveness when instances are available in future periods.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328"/>
        <w:spacing w:after="0" w:line="277" w:lineRule="auto"/>
        <w:rPr>
          <w:sz w:val="20"/>
          <w:szCs w:val="20"/>
          <w:color w:val="auto"/>
        </w:rPr>
      </w:pPr>
      <w:r>
        <w:rPr>
          <w:rFonts w:ascii="Arial" w:cs="Arial" w:eastAsia="Arial" w:hAnsi="Arial"/>
          <w:sz w:val="18"/>
          <w:szCs w:val="18"/>
          <w:color w:val="auto"/>
        </w:rPr>
        <w:t xml:space="preserve">For a summary of legal proceedings, refer to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unaudited condensed consolidated financial statements included in Item 1 of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risk factors disclosed in “Item 1A. Risk Factors” included in our Annual Report on Form 10-K for the year ended December 31, 2019 are hereby incorporated by reference.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these risk factors, you should carefully consider the risk factor below: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recent COVID-19 pandemic could adversely impact our business operations, results of operations, cash flows and financial position</w:t>
      </w:r>
    </w:p>
    <w:p>
      <w:pPr>
        <w:spacing w:after="0" w:line="20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December 2019, a novel strain of coronavirus (COVID-19) was reported in Wuhan, China. The World Health Organization has declared COVID-19 a pandemic and public health emergency of international concern. In March 2020, the President of the United States declared a State of National Emergency due to the COVID-19 outbreak. Other countries affected by the outbreak took similar measures. Consequently, the COVID-19 pandemic has had a material impact on the U.S. and global economies.</w:t>
      </w:r>
    </w:p>
    <w:p>
      <w:pPr>
        <w:spacing w:after="0" w:line="16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closely monitoring the impact of the COVID-19 pandemic on all aspects of our business, including how it will impact our patients, teammates, suppliers, vendors, referral sources, and third party payers. The COVID-19 pandemic has created significant volatility, uncertainty and economic disruption, which may adversely affect our business operations and may materially and adversely affect our results of operations, cash flows and financial position.</w:t>
      </w:r>
    </w:p>
    <w:p>
      <w:pPr>
        <w:spacing w:after="0" w:line="14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While we cannot predict the impact that COVID-19 will have on our patients, suppliers, vendors, and third party payers and each of their financial conditions, we believe the following factors could lead to a material adverse impact on the Company’s business:</w:t>
      </w:r>
    </w:p>
    <w:p>
      <w:pPr>
        <w:spacing w:after="0" w:line="13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Variability in acute therapy patient referrals from hospitals based on changes in hospital-based procedures and treatment patterns;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Variability in chronic therapy patient referrals based on disruptions in the diagnosis of chronic conditions requiring infusion therapy;</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Inefficiencies in clinical labor expenses and higher labor costs from staffing disruptions and availability, potential overtime due to inefficient clinical staffing and utilization of contract labor;</w:t>
      </w:r>
    </w:p>
    <w:p>
      <w:pPr>
        <w:ind w:left="660" w:right="4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costs to procure, and potential unavailability of, critical personal protection equipment, pharmaceuticals and medical supplies given a constrained supply environment; and</w:t>
      </w:r>
    </w:p>
    <w:p>
      <w:pPr>
        <w:ind w:left="660" w:right="22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Heightened operational risks from an extended period of remote work arrangements, which could strain our business continuity plans, including but not limited to cybersecurity risks, and could impair our ability to manage our business.</w:t>
      </w:r>
    </w:p>
    <w:p>
      <w:pPr>
        <w:spacing w:after="0" w:line="15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situation is changing rapidly and additional consequences may arise that we are not aware of currently. The extent to which the COVID-19 pandemic impacts us will depend on numerous evolving factors and future developments that we are not able to predict, including: the severity and duration of the outbreak; governmental, business and other actions; the promotion of social distancing and the adoption of shelter-in-place orders affecting our referral sources; the impacts on our supply chain; the impact of the pandemic on economic activity; the health of and the effect on our workforce; any impairment in value of our tangible or intangible assets which could be recorded as a result of a weaker economic conditions; and the potential effects on our internal controls including those over financial reporting as a result of changes in working environments such as shelter-in-place and similar orders that are applicable to our teammates. In addition, if the pandemic continues to create disruptions or turmoil in the credit or financial markets, or impacts our credit ratings or stock price, it could adversely affect our ability to access capital on favorable terms and continue to meet our liquidity needs, all of which are highly uncertain and cannot be predicted.</w:t>
      </w:r>
    </w:p>
    <w:p>
      <w:pPr>
        <w:spacing w:after="0" w:line="14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we cannot predict the impact that COVID-19 will have on our patients, suppliers, vendors, and third party payers, and each of their financial conditions; however, any material effect on these parties could adversely impact us. The impact of COVID-19 may also exacerbate other risks discussed in Item 1A. Risk Factors in our Annual Report on Form 10-K, any of which could have a material effect on us. This situation is changing rapidly and additional impacts may arise that we are not aware of currently.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74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91"/>
              </w:rPr>
              <w:t>Exhibits</w:t>
            </w:r>
          </w:p>
        </w:tc>
        <w:tc>
          <w:tcPr>
            <w:tcW w:w="9740" w:type="dxa"/>
            <w:vAlign w:val="bottom"/>
          </w:tcPr>
          <w:p>
            <w:pPr>
              <w:spacing w:after="0"/>
              <w:rPr>
                <w:sz w:val="20"/>
                <w:szCs w:val="20"/>
                <w:color w:val="auto"/>
              </w:rPr>
            </w:pPr>
          </w:p>
        </w:tc>
      </w:tr>
      <w:tr>
        <w:trPr>
          <w:trHeight w:val="405"/>
        </w:trPr>
        <w:tc>
          <w:tcPr>
            <w:tcW w:w="1480" w:type="dxa"/>
            <w:vAlign w:val="bottom"/>
            <w:gridSpan w:val="3"/>
          </w:tcPr>
          <w:p>
            <w:pPr>
              <w:spacing w:after="0"/>
              <w:rPr>
                <w:sz w:val="20"/>
                <w:szCs w:val="20"/>
                <w:color w:val="auto"/>
              </w:rPr>
            </w:pPr>
            <w:r>
              <w:rPr>
                <w:rFonts w:ascii="Arial" w:cs="Arial" w:eastAsia="Arial" w:hAnsi="Arial"/>
                <w:sz w:val="18"/>
                <w:szCs w:val="18"/>
                <w:color w:val="auto"/>
              </w:rPr>
              <w:t>(a) Exhibits.</w:t>
            </w:r>
          </w:p>
        </w:tc>
        <w:tc>
          <w:tcPr>
            <w:tcW w:w="9740" w:type="dxa"/>
            <w:vAlign w:val="bottom"/>
          </w:tcPr>
          <w:p>
            <w:pPr>
              <w:spacing w:after="0"/>
              <w:rPr>
                <w:sz w:val="24"/>
                <w:szCs w:val="24"/>
                <w:color w:val="auto"/>
              </w:rPr>
            </w:pPr>
          </w:p>
        </w:tc>
      </w:tr>
      <w:tr>
        <w:trPr>
          <w:trHeight w:val="416"/>
        </w:trPr>
        <w:tc>
          <w:tcPr>
            <w:tcW w:w="40" w:type="dxa"/>
            <w:vAlign w:val="bottom"/>
          </w:tcPr>
          <w:p>
            <w:pPr>
              <w:spacing w:after="0"/>
              <w:rPr>
                <w:sz w:val="24"/>
                <w:szCs w:val="24"/>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Number</w:t>
            </w:r>
          </w:p>
        </w:tc>
        <w:tc>
          <w:tcPr>
            <w:tcW w:w="9740" w:type="dxa"/>
            <w:vAlign w:val="bottom"/>
            <w:tcBorders>
              <w:bottom w:val="single" w:sz="8" w:color="auto"/>
            </w:tcBorders>
          </w:tcPr>
          <w:p>
            <w:pPr>
              <w:ind w:left="4480"/>
              <w:spacing w:after="0"/>
              <w:rPr>
                <w:sz w:val="20"/>
                <w:szCs w:val="20"/>
                <w:color w:val="auto"/>
              </w:rPr>
            </w:pPr>
            <w:r>
              <w:rPr>
                <w:rFonts w:ascii="Arial" w:cs="Arial" w:eastAsia="Arial" w:hAnsi="Arial"/>
                <w:sz w:val="16"/>
                <w:szCs w:val="16"/>
                <w:b w:val="1"/>
                <w:bCs w:val="1"/>
                <w:color w:val="auto"/>
              </w:rPr>
              <w:t>Description</w:t>
            </w:r>
          </w:p>
        </w:tc>
      </w:tr>
      <w:tr>
        <w:trPr>
          <w:trHeight w:val="23"/>
        </w:trPr>
        <w:tc>
          <w:tcPr>
            <w:tcW w:w="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17"/>
        </w:trPr>
        <w:tc>
          <w:tcPr>
            <w:tcW w:w="740" w:type="dxa"/>
            <w:vAlign w:val="bottom"/>
            <w:gridSpan w:val="2"/>
          </w:tcPr>
          <w:p>
            <w:pPr>
              <w:ind w:left="40"/>
              <w:spacing w:after="0"/>
              <w:rPr>
                <w:sz w:val="20"/>
                <w:szCs w:val="20"/>
                <w:color w:val="auto"/>
              </w:rPr>
            </w:pPr>
            <w:r>
              <w:rPr>
                <w:rFonts w:ascii="Arial" w:cs="Arial" w:eastAsia="Arial" w:hAnsi="Arial"/>
                <w:sz w:val="16"/>
                <w:szCs w:val="16"/>
                <w:color w:val="auto"/>
              </w:rPr>
              <w:t>31.1</w:t>
            </w:r>
          </w:p>
        </w:tc>
        <w:tc>
          <w:tcPr>
            <w:tcW w:w="740" w:type="dxa"/>
            <w:vAlign w:val="bottom"/>
          </w:tcPr>
          <w:p>
            <w:pPr>
              <w:spacing w:after="0"/>
              <w:rPr>
                <w:sz w:val="18"/>
                <w:szCs w:val="18"/>
                <w:color w:val="auto"/>
              </w:rPr>
            </w:pPr>
          </w:p>
        </w:tc>
        <w:tc>
          <w:tcPr>
            <w:tcW w:w="9740" w:type="dxa"/>
            <w:vAlign w:val="bottom"/>
          </w:tcPr>
          <w:p>
            <w:pPr>
              <w:ind w:left="20"/>
              <w:spacing w:after="0"/>
              <w:rPr>
                <w:rFonts w:ascii="Arial" w:cs="Arial" w:eastAsia="Arial" w:hAnsi="Arial"/>
                <w:sz w:val="16"/>
                <w:szCs w:val="16"/>
                <w:u w:val="single" w:color="auto"/>
                <w:color w:val="0000FF"/>
                <w:w w:val="93"/>
              </w:rPr>
            </w:pPr>
            <w:hyperlink w:anchor="page42">
              <w:r>
                <w:rPr>
                  <w:rFonts w:ascii="Arial" w:cs="Arial" w:eastAsia="Arial" w:hAnsi="Arial"/>
                  <w:sz w:val="16"/>
                  <w:szCs w:val="16"/>
                  <w:u w:val="single" w:color="auto"/>
                  <w:color w:val="0000FF"/>
                  <w:w w:val="93"/>
                </w:rPr>
                <w:t>Certification of Chief Executive Officer pursuant to 18 U.S.C. Section 1350, as adopted pursuant to Section 302 of the Sarbanes-Oxley Act of 2002.</w:t>
              </w:r>
            </w:hyperlink>
          </w:p>
        </w:tc>
      </w:tr>
      <w:tr>
        <w:trPr>
          <w:trHeight w:val="229"/>
        </w:trPr>
        <w:tc>
          <w:tcPr>
            <w:tcW w:w="74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740" w:type="dxa"/>
            <w:vAlign w:val="bottom"/>
          </w:tcPr>
          <w:p>
            <w:pPr>
              <w:spacing w:after="0"/>
              <w:rPr>
                <w:sz w:val="19"/>
                <w:szCs w:val="19"/>
                <w:color w:val="auto"/>
              </w:rPr>
            </w:pPr>
          </w:p>
        </w:tc>
        <w:tc>
          <w:tcPr>
            <w:tcW w:w="9740" w:type="dxa"/>
            <w:vAlign w:val="bottom"/>
          </w:tcPr>
          <w:p>
            <w:pPr>
              <w:ind w:left="20"/>
              <w:spacing w:after="0"/>
              <w:rPr>
                <w:rFonts w:ascii="Arial" w:cs="Arial" w:eastAsia="Arial" w:hAnsi="Arial"/>
                <w:sz w:val="16"/>
                <w:szCs w:val="16"/>
                <w:color w:val="0000FF"/>
                <w:w w:val="93"/>
              </w:rPr>
            </w:pPr>
            <w:hyperlink w:anchor="page43">
              <w:r>
                <w:rPr>
                  <w:rFonts w:ascii="Arial" w:cs="Arial" w:eastAsia="Arial" w:hAnsi="Arial"/>
                  <w:sz w:val="16"/>
                  <w:szCs w:val="16"/>
                  <w:u w:val="single" w:color="auto"/>
                  <w:color w:val="0000FF"/>
                  <w:w w:val="93"/>
                </w:rPr>
                <w:t>Certification of Chief Financial Officer pursuant to 18 U.S.C. Section 1350, as adopted pursuant to Section 302 of the Sarbanes-Oxley Act of 2002</w:t>
              </w:r>
              <w:r>
                <w:rPr>
                  <w:rFonts w:ascii="Arial" w:cs="Arial" w:eastAsia="Arial" w:hAnsi="Arial"/>
                  <w:sz w:val="16"/>
                  <w:szCs w:val="16"/>
                  <w:color w:val="0000FF"/>
                  <w:w w:val="93"/>
                </w:rPr>
                <w:t>.</w:t>
              </w:r>
            </w:hyperlink>
          </w:p>
        </w:tc>
      </w:tr>
      <w:tr>
        <w:trPr>
          <w:trHeight w:val="216"/>
        </w:trPr>
        <w:tc>
          <w:tcPr>
            <w:tcW w:w="740" w:type="dxa"/>
            <w:vAlign w:val="bottom"/>
            <w:gridSpan w:val="2"/>
          </w:tcPr>
          <w:p>
            <w:pPr>
              <w:ind w:left="40"/>
              <w:spacing w:after="0"/>
              <w:rPr>
                <w:sz w:val="20"/>
                <w:szCs w:val="20"/>
                <w:color w:val="auto"/>
              </w:rPr>
            </w:pPr>
            <w:r>
              <w:rPr>
                <w:rFonts w:ascii="Arial" w:cs="Arial" w:eastAsia="Arial" w:hAnsi="Arial"/>
                <w:sz w:val="16"/>
                <w:szCs w:val="16"/>
                <w:color w:val="auto"/>
              </w:rPr>
              <w:t>32.1</w:t>
            </w:r>
          </w:p>
        </w:tc>
        <w:tc>
          <w:tcPr>
            <w:tcW w:w="740" w:type="dxa"/>
            <w:vAlign w:val="bottom"/>
          </w:tcPr>
          <w:p>
            <w:pPr>
              <w:spacing w:after="0"/>
              <w:rPr>
                <w:sz w:val="18"/>
                <w:szCs w:val="18"/>
                <w:color w:val="auto"/>
              </w:rPr>
            </w:pPr>
          </w:p>
        </w:tc>
        <w:tc>
          <w:tcPr>
            <w:tcW w:w="9740" w:type="dxa"/>
            <w:vAlign w:val="bottom"/>
          </w:tcPr>
          <w:p>
            <w:pPr>
              <w:ind w:left="20"/>
              <w:spacing w:after="0"/>
              <w:rPr>
                <w:rFonts w:ascii="Arial" w:cs="Arial" w:eastAsia="Arial" w:hAnsi="Arial"/>
                <w:sz w:val="16"/>
                <w:szCs w:val="16"/>
                <w:u w:val="single" w:color="auto"/>
                <w:color w:val="0000FF"/>
                <w:w w:val="92"/>
              </w:rPr>
            </w:pPr>
            <w:hyperlink w:anchor="page44">
              <w:r>
                <w:rPr>
                  <w:rFonts w:ascii="Arial" w:cs="Arial" w:eastAsia="Arial" w:hAnsi="Arial"/>
                  <w:sz w:val="16"/>
                  <w:szCs w:val="16"/>
                  <w:u w:val="single" w:color="auto"/>
                  <w:color w:val="0000FF"/>
                  <w:w w:val="92"/>
                </w:rPr>
                <w:t>Certification of Chief Executive Officer pursuant to 18 U.S. C. Section 1350, as adopted pursuant to Section 906 of the Sarbanes-Oxley Act of 2002.</w:t>
              </w:r>
            </w:hyperlink>
          </w:p>
        </w:tc>
      </w:tr>
      <w:tr>
        <w:trPr>
          <w:trHeight w:val="216"/>
        </w:trPr>
        <w:tc>
          <w:tcPr>
            <w:tcW w:w="740" w:type="dxa"/>
            <w:vAlign w:val="bottom"/>
            <w:gridSpan w:val="2"/>
          </w:tcPr>
          <w:p>
            <w:pPr>
              <w:ind w:left="40"/>
              <w:spacing w:after="0"/>
              <w:rPr>
                <w:sz w:val="20"/>
                <w:szCs w:val="20"/>
                <w:color w:val="auto"/>
              </w:rPr>
            </w:pPr>
            <w:r>
              <w:rPr>
                <w:rFonts w:ascii="Arial" w:cs="Arial" w:eastAsia="Arial" w:hAnsi="Arial"/>
                <w:sz w:val="16"/>
                <w:szCs w:val="16"/>
                <w:color w:val="auto"/>
              </w:rPr>
              <w:t>32.2</w:t>
            </w:r>
          </w:p>
        </w:tc>
        <w:tc>
          <w:tcPr>
            <w:tcW w:w="740" w:type="dxa"/>
            <w:vAlign w:val="bottom"/>
          </w:tcPr>
          <w:p>
            <w:pPr>
              <w:spacing w:after="0"/>
              <w:rPr>
                <w:sz w:val="18"/>
                <w:szCs w:val="18"/>
                <w:color w:val="auto"/>
              </w:rPr>
            </w:pPr>
          </w:p>
        </w:tc>
        <w:tc>
          <w:tcPr>
            <w:tcW w:w="9740" w:type="dxa"/>
            <w:vAlign w:val="bottom"/>
          </w:tcPr>
          <w:p>
            <w:pPr>
              <w:ind w:left="20"/>
              <w:spacing w:after="0"/>
              <w:rPr>
                <w:rFonts w:ascii="Arial" w:cs="Arial" w:eastAsia="Arial" w:hAnsi="Arial"/>
                <w:sz w:val="16"/>
                <w:szCs w:val="16"/>
                <w:color w:val="0000FF"/>
                <w:w w:val="93"/>
              </w:rPr>
            </w:pPr>
            <w:hyperlink w:anchor="page45">
              <w:r>
                <w:rPr>
                  <w:rFonts w:ascii="Arial" w:cs="Arial" w:eastAsia="Arial" w:hAnsi="Arial"/>
                  <w:sz w:val="16"/>
                  <w:szCs w:val="16"/>
                  <w:u w:val="single" w:color="auto"/>
                  <w:color w:val="0000FF"/>
                  <w:w w:val="93"/>
                </w:rPr>
                <w:t>Certification of Chief Financial Officer pursuant to 18 U.S. C. Section 1350, as adopted pursuant to Section 906 of the Sarbanes-Oxley Act of 2002</w:t>
              </w:r>
              <w:r>
                <w:rPr>
                  <w:rFonts w:ascii="Arial" w:cs="Arial" w:eastAsia="Arial" w:hAnsi="Arial"/>
                  <w:sz w:val="16"/>
                  <w:szCs w:val="16"/>
                  <w:color w:val="0000FF"/>
                  <w:w w:val="93"/>
                </w:rPr>
                <w:t>.</w:t>
              </w:r>
            </w:hyperlink>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101.INS</w:t>
            </w:r>
          </w:p>
        </w:tc>
        <w:tc>
          <w:tcPr>
            <w:tcW w:w="740" w:type="dxa"/>
            <w:vAlign w:val="bottom"/>
          </w:tcPr>
          <w:p>
            <w:pPr>
              <w:spacing w:after="0"/>
              <w:rPr>
                <w:sz w:val="18"/>
                <w:szCs w:val="18"/>
                <w:color w:val="auto"/>
              </w:rPr>
            </w:pPr>
          </w:p>
        </w:tc>
        <w:tc>
          <w:tcPr>
            <w:tcW w:w="9740" w:type="dxa"/>
            <w:vAlign w:val="bottom"/>
          </w:tcPr>
          <w:p>
            <w:pPr>
              <w:ind w:left="20"/>
              <w:spacing w:after="0"/>
              <w:rPr>
                <w:sz w:val="20"/>
                <w:szCs w:val="20"/>
                <w:color w:val="auto"/>
              </w:rPr>
            </w:pPr>
            <w:r>
              <w:rPr>
                <w:rFonts w:ascii="Arial" w:cs="Arial" w:eastAsia="Arial" w:hAnsi="Arial"/>
                <w:sz w:val="16"/>
                <w:szCs w:val="16"/>
                <w:color w:val="auto"/>
              </w:rPr>
              <w:t>XBRL Instance Document</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101.SCH</w:t>
            </w:r>
          </w:p>
        </w:tc>
        <w:tc>
          <w:tcPr>
            <w:tcW w:w="740" w:type="dxa"/>
            <w:vAlign w:val="bottom"/>
          </w:tcPr>
          <w:p>
            <w:pPr>
              <w:spacing w:after="0"/>
              <w:rPr>
                <w:sz w:val="18"/>
                <w:szCs w:val="18"/>
                <w:color w:val="auto"/>
              </w:rPr>
            </w:pPr>
          </w:p>
        </w:tc>
        <w:tc>
          <w:tcPr>
            <w:tcW w:w="9740" w:type="dxa"/>
            <w:vAlign w:val="bottom"/>
          </w:tcPr>
          <w:p>
            <w:pPr>
              <w:ind w:left="20"/>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101.CAL</w:t>
            </w:r>
          </w:p>
        </w:tc>
        <w:tc>
          <w:tcPr>
            <w:tcW w:w="740" w:type="dxa"/>
            <w:vAlign w:val="bottom"/>
          </w:tcPr>
          <w:p>
            <w:pPr>
              <w:spacing w:after="0"/>
              <w:rPr>
                <w:sz w:val="18"/>
                <w:szCs w:val="18"/>
                <w:color w:val="auto"/>
              </w:rPr>
            </w:pPr>
          </w:p>
        </w:tc>
        <w:tc>
          <w:tcPr>
            <w:tcW w:w="9740" w:type="dxa"/>
            <w:vAlign w:val="bottom"/>
          </w:tcPr>
          <w:p>
            <w:pPr>
              <w:ind w:left="2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101.DEF</w:t>
            </w:r>
          </w:p>
        </w:tc>
        <w:tc>
          <w:tcPr>
            <w:tcW w:w="740" w:type="dxa"/>
            <w:vAlign w:val="bottom"/>
          </w:tcPr>
          <w:p>
            <w:pPr>
              <w:spacing w:after="0"/>
              <w:rPr>
                <w:sz w:val="18"/>
                <w:szCs w:val="18"/>
                <w:color w:val="auto"/>
              </w:rPr>
            </w:pPr>
          </w:p>
        </w:tc>
        <w:tc>
          <w:tcPr>
            <w:tcW w:w="9740" w:type="dxa"/>
            <w:vAlign w:val="bottom"/>
          </w:tcPr>
          <w:p>
            <w:pPr>
              <w:ind w:left="2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101.LAB</w:t>
            </w:r>
          </w:p>
        </w:tc>
        <w:tc>
          <w:tcPr>
            <w:tcW w:w="740" w:type="dxa"/>
            <w:vAlign w:val="bottom"/>
          </w:tcPr>
          <w:p>
            <w:pPr>
              <w:spacing w:after="0"/>
              <w:rPr>
                <w:sz w:val="18"/>
                <w:szCs w:val="18"/>
                <w:color w:val="auto"/>
              </w:rPr>
            </w:pPr>
          </w:p>
        </w:tc>
        <w:tc>
          <w:tcPr>
            <w:tcW w:w="9740" w:type="dxa"/>
            <w:vAlign w:val="bottom"/>
          </w:tcPr>
          <w:p>
            <w:pPr>
              <w:ind w:left="20"/>
              <w:spacing w:after="0"/>
              <w:rPr>
                <w:sz w:val="20"/>
                <w:szCs w:val="20"/>
                <w:color w:val="auto"/>
              </w:rPr>
            </w:pPr>
            <w:r>
              <w:rPr>
                <w:rFonts w:ascii="Arial" w:cs="Arial" w:eastAsia="Arial" w:hAnsi="Arial"/>
                <w:sz w:val="16"/>
                <w:szCs w:val="16"/>
                <w:color w:val="auto"/>
              </w:rPr>
              <w:t>XBRL Taxonomy Extension Labels Linkbase Document</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101.PRE</w:t>
            </w:r>
          </w:p>
        </w:tc>
        <w:tc>
          <w:tcPr>
            <w:tcW w:w="740" w:type="dxa"/>
            <w:vAlign w:val="bottom"/>
          </w:tcPr>
          <w:p>
            <w:pPr>
              <w:spacing w:after="0"/>
              <w:rPr>
                <w:sz w:val="18"/>
                <w:szCs w:val="18"/>
                <w:color w:val="auto"/>
              </w:rPr>
            </w:pPr>
          </w:p>
        </w:tc>
        <w:tc>
          <w:tcPr>
            <w:tcW w:w="9740" w:type="dxa"/>
            <w:vAlign w:val="bottom"/>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6"/>
        </w:trPr>
        <w:tc>
          <w:tcPr>
            <w:tcW w:w="740" w:type="dxa"/>
            <w:vAlign w:val="bottom"/>
            <w:gridSpan w:val="2"/>
          </w:tcPr>
          <w:p>
            <w:pPr>
              <w:ind w:left="40"/>
              <w:spacing w:after="0"/>
              <w:rPr>
                <w:sz w:val="20"/>
                <w:szCs w:val="20"/>
                <w:color w:val="auto"/>
              </w:rPr>
            </w:pPr>
            <w:r>
              <w:rPr>
                <w:rFonts w:ascii="Arial" w:cs="Arial" w:eastAsia="Arial" w:hAnsi="Arial"/>
                <w:sz w:val="16"/>
                <w:szCs w:val="16"/>
                <w:color w:val="auto"/>
              </w:rPr>
              <w:t>104</w:t>
            </w:r>
          </w:p>
        </w:tc>
        <w:tc>
          <w:tcPr>
            <w:tcW w:w="740" w:type="dxa"/>
            <w:vAlign w:val="bottom"/>
          </w:tcPr>
          <w:p>
            <w:pPr>
              <w:spacing w:after="0"/>
              <w:rPr>
                <w:sz w:val="18"/>
                <w:szCs w:val="18"/>
                <w:color w:val="auto"/>
              </w:rPr>
            </w:pPr>
          </w:p>
        </w:tc>
        <w:tc>
          <w:tcPr>
            <w:tcW w:w="9740" w:type="dxa"/>
            <w:vAlign w:val="bottom"/>
          </w:tcPr>
          <w:p>
            <w:pPr>
              <w:ind w:left="20"/>
              <w:spacing w:after="0"/>
              <w:rPr>
                <w:sz w:val="20"/>
                <w:szCs w:val="20"/>
                <w:color w:val="auto"/>
              </w:rPr>
            </w:pPr>
            <w:r>
              <w:rPr>
                <w:rFonts w:ascii="Arial" w:cs="Arial" w:eastAsia="Arial" w:hAnsi="Arial"/>
                <w:sz w:val="16"/>
                <w:szCs w:val="16"/>
                <w:color w:val="auto"/>
              </w:rPr>
              <w:t>XBRL Formatted Cover Page</w:t>
            </w:r>
          </w:p>
        </w:tc>
      </w:tr>
    </w:tbl>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OPTION CARE HEALTH, INC.</w:t>
      </w:r>
    </w:p>
    <w:p>
      <w:pPr>
        <w:spacing w:after="0" w:line="252" w:lineRule="exact"/>
        <w:rPr>
          <w:sz w:val="20"/>
          <w:szCs w:val="20"/>
          <w:color w:val="auto"/>
        </w:rPr>
      </w:pPr>
    </w:p>
    <w:p>
      <w:pPr>
        <w:jc w:val="right"/>
        <w:ind w:left="20" w:right="20"/>
        <w:spacing w:after="0" w:line="268" w:lineRule="auto"/>
        <w:rPr>
          <w:sz w:val="20"/>
          <w:szCs w:val="20"/>
          <w:color w:val="auto"/>
        </w:rPr>
      </w:pPr>
      <w:r>
        <w:rPr>
          <w:rFonts w:ascii="Arial" w:cs="Arial" w:eastAsia="Arial" w:hAnsi="Arial"/>
          <w:sz w:val="18"/>
          <w:szCs w:val="18"/>
          <w:color w:val="auto"/>
        </w:rPr>
        <w:t xml:space="preserve">Date: November 3, 2020                                                                                     </w:t>
      </w:r>
      <w:r>
        <w:rPr>
          <w:rFonts w:ascii="Arial" w:cs="Arial" w:eastAsia="Arial" w:hAnsi="Arial"/>
          <w:sz w:val="18"/>
          <w:szCs w:val="18"/>
          <w:b w:val="1"/>
          <w:bCs w:val="1"/>
          <w:u w:val="single" w:color="auto"/>
          <w:color w:val="auto"/>
        </w:rPr>
        <w:t>/s/ Michael Shapiro</w:t>
      </w:r>
      <w:r>
        <w:rPr>
          <w:rFonts w:ascii="Arial" w:cs="Arial" w:eastAsia="Arial" w:hAnsi="Arial"/>
          <w:sz w:val="18"/>
          <w:szCs w:val="18"/>
          <w:color w:val="auto"/>
        </w:rPr>
        <w:t xml:space="preserve"> Michael Shapiro</w:t>
      </w:r>
    </w:p>
    <w:p>
      <w:pPr>
        <w:spacing w:after="0" w:line="380"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Chief Financial Officer (Principal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2" w:right="359" w:bottom="1440" w:gutter="0" w:footer="0" w:header="0"/>
        </w:sectPr>
      </w:pPr>
    </w:p>
    <w:bookmarkStart w:id="41" w:name="page42"/>
    <w:bookmarkEnd w:id="41"/>
    <w:p>
      <w:pPr>
        <w:ind w:left="10180"/>
        <w:spacing w:after="0"/>
        <w:rPr>
          <w:sz w:val="20"/>
          <w:szCs w:val="20"/>
          <w:color w:val="auto"/>
        </w:rPr>
      </w:pPr>
      <w:r>
        <w:rPr>
          <w:rFonts w:ascii="Arial" w:cs="Arial" w:eastAsia="Arial" w:hAnsi="Arial"/>
          <w:sz w:val="16"/>
          <w:szCs w:val="16"/>
          <w:b w:val="1"/>
          <w:bCs w:val="1"/>
          <w:color w:val="auto"/>
        </w:rPr>
        <w:t>EXHIBIT 31.1</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Rademacher, certify that:</w:t>
      </w:r>
    </w:p>
    <w:p>
      <w:pPr>
        <w:spacing w:after="0" w:line="10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90" w:lineRule="exact"/>
        <w:rPr>
          <w:rFonts w:ascii="Arial" w:cs="Arial" w:eastAsia="Arial" w:hAnsi="Arial"/>
          <w:sz w:val="18"/>
          <w:szCs w:val="18"/>
          <w:color w:val="auto"/>
        </w:rPr>
      </w:pPr>
    </w:p>
    <w:p>
      <w:pPr>
        <w:ind w:left="660" w:hanging="652"/>
        <w:spacing w:after="0" w:line="263" w:lineRule="auto"/>
        <w:tabs>
          <w:tab w:leader="none" w:pos="4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442"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hanging="644"/>
        <w:spacing w:after="0" w:line="263" w:lineRule="auto"/>
        <w:tabs>
          <w:tab w:leader="none" w:pos="11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79"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1300" w:hanging="644"/>
        <w:spacing w:after="0" w:line="263" w:lineRule="auto"/>
        <w:tabs>
          <w:tab w:leader="none" w:pos="1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42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13"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1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2020</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89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31.2</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Shapiro, certify that:</w:t>
      </w:r>
    </w:p>
    <w:p>
      <w:pPr>
        <w:spacing w:after="0" w:line="104"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90" w:lineRule="exact"/>
        <w:rPr>
          <w:rFonts w:ascii="Arial" w:cs="Arial" w:eastAsia="Arial" w:hAnsi="Arial"/>
          <w:sz w:val="18"/>
          <w:szCs w:val="18"/>
          <w:color w:val="auto"/>
        </w:rPr>
      </w:pPr>
    </w:p>
    <w:p>
      <w:pPr>
        <w:ind w:left="660" w:hanging="652"/>
        <w:spacing w:after="0" w:line="263" w:lineRule="auto"/>
        <w:tabs>
          <w:tab w:leader="none" w:pos="4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442"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hanging="644"/>
        <w:spacing w:after="0" w:line="263" w:lineRule="auto"/>
        <w:tabs>
          <w:tab w:leader="none" w:pos="115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79"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1300" w:hanging="644"/>
        <w:spacing w:after="0" w:line="263"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42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13"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15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9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199"/>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September 30, 2020,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199"/>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September 30, 2020,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2020-11-03T16:13:12Z</dcterms:created>
  <dcterms:modified xsi:type="dcterms:W3CDTF">2020-11-03T16:13:12Z</dcterms:modified>
</cp:coreProperties>
</file>